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ПРОСТОГО ТОВАРИЩЕСТВА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(О СОВМЕСТНОЙ ДЕЯТЕЛЬНОСТИ)</w:t>
      </w:r>
    </w:p>
    <w:p w:rsidR="00000000" w:rsidDel="00000000" w:rsidP="00000000" w:rsidRDefault="00000000" w:rsidRPr="00000000" w14:paraId="00000005">
      <w:pPr>
        <w:spacing w:after="0" w:before="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3.0" w:type="dxa"/>
        <w:jc w:val="left"/>
        <w:tblInd w:w="0.0" w:type="dxa"/>
        <w:tblLayout w:type="fixed"/>
        <w:tblLook w:val="0400"/>
      </w:tblPr>
      <w:tblGrid>
        <w:gridCol w:w="4848"/>
        <w:gridCol w:w="4835"/>
        <w:tblGridChange w:id="0">
          <w:tblGrid>
            <w:gridCol w:w="4848"/>
            <w:gridCol w:w="483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г. _____________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Rule="auto"/>
              <w:jc w:val="righ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«__» ________ 20__ года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  <w:t xml:space="preserve">___________, именуемый в дальнейшем «Сторона 1», с одной стороны, и ______________, именуемый в дальнейшем «Сторона 2», с другой стороны, совместно именуемые «Стороны» или «Товарищи», заключили настоящий договор о нижеследующем. </w:t>
      </w:r>
    </w:p>
    <w:p w:rsidR="00000000" w:rsidDel="00000000" w:rsidP="00000000" w:rsidRDefault="00000000" w:rsidRPr="00000000" w14:paraId="0000000A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ПРЕДМЕТ ДОГОВОРА</w:t>
      </w:r>
    </w:p>
    <w:p w:rsidR="00000000" w:rsidDel="00000000" w:rsidP="00000000" w:rsidRDefault="00000000" w:rsidRPr="00000000" w14:paraId="0000000C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По настоящему договору Стороны обязуются соединить свои вклады и совместно действовать без образования юридического лица для извлечения прибыли, а именно _______________________________________________________________ </w:t>
      </w:r>
    </w:p>
    <w:p w:rsidR="00000000" w:rsidDel="00000000" w:rsidP="00000000" w:rsidRDefault="00000000" w:rsidRPr="00000000" w14:paraId="0000000E">
      <w:pPr>
        <w:spacing w:after="0" w:before="0" w:lineRule="auto"/>
        <w:ind w:left="360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Rule="auto"/>
        <w:ind w:left="709"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УСЛОВИЯ И ПОРЯДОК ВНЕСЕНИЯ ВКЛАДОВ СТОРОНАМИ</w:t>
      </w:r>
    </w:p>
    <w:p w:rsidR="00000000" w:rsidDel="00000000" w:rsidP="00000000" w:rsidRDefault="00000000" w:rsidRPr="00000000" w14:paraId="00000011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Вкладом Стороны 1 в общее дело является: _________________________ 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Вкладом Стороны 2 в общее дело является: _________________________ 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Вклады сторон признаются равными по стоимости.</w:t>
      </w:r>
    </w:p>
    <w:p w:rsidR="00000000" w:rsidDel="00000000" w:rsidP="00000000" w:rsidRDefault="00000000" w:rsidRPr="00000000" w14:paraId="00000015">
      <w:pPr>
        <w:spacing w:after="0" w:before="0" w:lineRule="auto"/>
        <w:ind w:right="-2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СОБСТВЕННОСТЬ ТОВАРИЩЕЙ</w:t>
      </w:r>
    </w:p>
    <w:p w:rsidR="00000000" w:rsidDel="00000000" w:rsidP="00000000" w:rsidRDefault="00000000" w:rsidRPr="00000000" w14:paraId="00000017">
      <w:pPr>
        <w:spacing w:after="0" w:before="0" w:lineRule="auto"/>
        <w:ind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Внесенные вклады и доходы, полученные Товарищами в результате совместной деятельности, признаются их общей долевой собственностью.</w:t>
      </w:r>
    </w:p>
    <w:p w:rsidR="00000000" w:rsidDel="00000000" w:rsidP="00000000" w:rsidRDefault="00000000" w:rsidRPr="00000000" w14:paraId="00000019">
      <w:pPr>
        <w:spacing w:after="0" w:before="0" w:lineRule="auto"/>
        <w:ind w:left="0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Rule="auto"/>
        <w:ind w:left="360" w:right="-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ВЕДЕНИЕ ОБЩИХ ДЕЛ</w:t>
      </w:r>
    </w:p>
    <w:p w:rsidR="00000000" w:rsidDel="00000000" w:rsidP="00000000" w:rsidRDefault="00000000" w:rsidRPr="00000000" w14:paraId="0000001C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Ведение общих дел Товарищей осуществляется по их общему согласию.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Общие дела ведутся Стороной 2 c согласия Стороны 1, при этом Сторона 2 не вправе самостоятельно совершать действия в общих интересах от имени Стороны 1.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Сторона 2 осуществляет следующее: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заключает от имени Cторон сделки в целях достижения цели настоящего договора;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ведет переговоры с третьими лицами по вопросам совместной деятельности, за исключением случаев, когда, согласно настоящему договору или дополнительному соглашению к нему, ведение переговоров поручается другой Стороне;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в случае необходимости, предъявляет претензии и иски, выступает от имени Сторон в суде, арбитражном суде и других судебных инстанциях;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Rule="auto"/>
        <w:ind w:left="1134" w:right="-2" w:hanging="414.00000000000006"/>
        <w:jc w:val="both"/>
        <w:rPr/>
      </w:pPr>
      <w:r w:rsidDel="00000000" w:rsidR="00000000" w:rsidRPr="00000000">
        <w:rPr>
          <w:rtl w:val="0"/>
        </w:rPr>
        <w:t xml:space="preserve">решает другие вопросы руководства текущей деятельностью Товарищей в рамках настоящего договора.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Ведение бухгалтерского учета общего имущества Товарищей поручается Стороне 1.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Сторона 1 ведет бухгалтерский учет и направляет отчетность в контролирующие органы в отношении общего имущества Сторон в соответствии с правилами бухгалтерского учета, установленными в Российской Федерации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Руководство совместной деятельностью в рамках настоящего договора и ведение общих дел Товарищей возлагается на Сторону 2.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Сделки, относящиеся к совместной деятельности, заключаются Стороной 2 в установленном действующим законодательством порядке. Права и обязанности, порожденные такими сделками, являются правами и обязанностями Сторон, если это не противоречит действующему законодательству. </w:t>
      </w:r>
    </w:p>
    <w:p w:rsidR="00000000" w:rsidDel="00000000" w:rsidP="00000000" w:rsidRDefault="00000000" w:rsidRPr="00000000" w14:paraId="00000028">
      <w:pPr>
        <w:spacing w:after="0" w:before="0" w:lineRule="auto"/>
        <w:ind w:left="360" w:right="-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 ОБЩИЕ РАСХОДЫ, УБЫТКИ СТОРОН И РАСПРЕДЕЛЕНИЕ РЕЗУЛЬТАТОВ СОВМЕСТНОЙ ДЕЯТЕЛЬНОСТИ МЕЖДУ ТОВАРИЩАМИ</w:t>
      </w:r>
    </w:p>
    <w:p w:rsidR="00000000" w:rsidDel="00000000" w:rsidP="00000000" w:rsidRDefault="00000000" w:rsidRPr="00000000" w14:paraId="0000002B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Товарищи отвечают солидарно по всем общим обязательствам, независимо от оснований их возникновения.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Общие расходы и убытки, возникшие в результате совместной деятельности, покрываются в следующем порядке: 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Распределение доходов от совместной деятельности производится в пропорции ___/___, где часть Стороны 1 составляет ___%, часть Стороны 1 составляет ___%. 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прекращения договора Сторона 1 получает _____________, Сторона 2 получает ______________ .</w:t>
      </w:r>
    </w:p>
    <w:p w:rsidR="00000000" w:rsidDel="00000000" w:rsidP="00000000" w:rsidRDefault="00000000" w:rsidRPr="00000000" w14:paraId="00000030">
      <w:pPr>
        <w:spacing w:after="0" w:before="0" w:lineRule="auto"/>
        <w:ind w:left="709" w:right="-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32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 целью выполнения настоящего договора Стороны соглашаются, что все документы, отчеты и вся другая информация, будет считаться конфиденциальной независимо от способа ее передачи.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Стороны обязуются использовать полученную информацию только в целях, предусмотренных настоящим договором.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Стороны обязуются соблюдать условия конфиденциальности в отношении информации, полученной ими при проведении переговоров, в ходе выполнения работ по настоящему договору и не разглашать информацию, касающуюся исполнения настоящего договора, без согласия другой </w:t>
      </w:r>
      <w:r w:rsidDel="00000000" w:rsidR="00000000" w:rsidRPr="00000000">
        <w:rPr>
          <w:smallCaps w:val="1"/>
          <w:rtl w:val="0"/>
        </w:rPr>
        <w:t xml:space="preserve">С</w:t>
      </w:r>
      <w:r w:rsidDel="00000000" w:rsidR="00000000" w:rsidRPr="00000000">
        <w:rPr>
          <w:rtl w:val="0"/>
        </w:rPr>
        <w:t xml:space="preserve">тороны.</w:t>
      </w:r>
    </w:p>
    <w:p w:rsidR="00000000" w:rsidDel="00000000" w:rsidP="00000000" w:rsidRDefault="00000000" w:rsidRPr="00000000" w14:paraId="00000036">
      <w:pPr>
        <w:spacing w:after="0" w:before="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СРОК ДЕЙСТВИЯ ДОГОВОРА. ИЗМЕНЕНИЕ И ПРЕКРАЩЕНИЕ ДОГОВОРА</w:t>
      </w:r>
    </w:p>
    <w:p w:rsidR="00000000" w:rsidDel="00000000" w:rsidP="00000000" w:rsidRDefault="00000000" w:rsidRPr="00000000" w14:paraId="00000039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Настоящий договор вступает в силу с момента его подписания Сторонами и действует до момента его расторжения.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 случае неисполнения какой-либо Стороной обязательств по договору вторая Сторона вправе отказаться от исполнения настоящего договора путем направления уведомления заказным письмом Стороне, не исполняющей свои обязательства. Договор считается расторгнутым с момента получения уведомления.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 момента прекращения договора Товарищи несут солидарную ответственность по неисполненным общим обязательствам в отношении третьих лиц.</w:t>
      </w:r>
    </w:p>
    <w:p w:rsidR="00000000" w:rsidDel="00000000" w:rsidP="00000000" w:rsidRDefault="00000000" w:rsidRPr="00000000" w14:paraId="0000003D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before="0" w:lineRule="auto"/>
        <w:ind w:left="360" w:hanging="360"/>
        <w:jc w:val="center"/>
        <w:rPr/>
      </w:pPr>
      <w:r w:rsidDel="00000000" w:rsidR="00000000" w:rsidRPr="00000000">
        <w:rPr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3F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Разногласия, возникшие в рамках настоящего договора, будут разрешаться между Сторонами через письменные претензии. Срок ответа на претензию — семь дней.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Все изменения и дополнения к настоящему договору имеют силу, если они составлены в письменной форме и подписаны сторонами или надлежащим образом уполномоченными на то лицами.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Стороны не вправе передавать свои права и обязанности по настоящему договору третьим лицам без согласия второй стороны.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after="0" w:before="0" w:lineRule="auto"/>
        <w:ind w:left="709" w:right="-2" w:hanging="709"/>
        <w:jc w:val="both"/>
        <w:rPr/>
      </w:pPr>
      <w:r w:rsidDel="00000000" w:rsidR="00000000" w:rsidRPr="00000000">
        <w:rPr>
          <w:rtl w:val="0"/>
        </w:rPr>
        <w:t xml:space="preserve">Настоящий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45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АДРЕСА И БАНКОВСКИЕ РЕКВИЗИТЫ СТОРОН</w:t>
      </w:r>
    </w:p>
    <w:p w:rsidR="00000000" w:rsidDel="00000000" w:rsidP="00000000" w:rsidRDefault="00000000" w:rsidRPr="00000000" w14:paraId="00000048">
      <w:pPr>
        <w:spacing w:after="0" w:before="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Layout w:type="fixed"/>
        <w:tblLook w:val="0000"/>
      </w:tblPr>
      <w:tblGrid>
        <w:gridCol w:w="4785"/>
        <w:gridCol w:w="5104"/>
        <w:tblGridChange w:id="0">
          <w:tblGrid>
            <w:gridCol w:w="4785"/>
            <w:gridCol w:w="5104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 1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 2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ПОДПИСИ СТОРОН</w:t>
      </w:r>
    </w:p>
    <w:p w:rsidR="00000000" w:rsidDel="00000000" w:rsidP="00000000" w:rsidRDefault="00000000" w:rsidRPr="00000000" w14:paraId="00000050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785"/>
        <w:gridCol w:w="4785"/>
        <w:tblGridChange w:id="0">
          <w:tblGrid>
            <w:gridCol w:w="4785"/>
            <w:gridCol w:w="4785"/>
          </w:tblGrid>
        </w:tblGridChange>
      </w:tblGrid>
      <w:tr>
        <w:tc>
          <w:tcPr/>
          <w:p w:rsidR="00000000" w:rsidDel="00000000" w:rsidP="00000000" w:rsidRDefault="00000000" w:rsidRPr="00000000" w14:paraId="00000051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Сторона 1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Сторона 2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 </w:t>
            </w:r>
          </w:p>
        </w:tc>
      </w:tr>
    </w:tbl>
    <w:p w:rsidR="00000000" w:rsidDel="00000000" w:rsidP="00000000" w:rsidRDefault="00000000" w:rsidRPr="00000000" w14:paraId="00000055">
      <w:pPr>
        <w:spacing w:after="0" w:before="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247" w:top="1247" w:left="1418" w:right="102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228600</wp:posOffset>
              </wp:positionV>
              <wp:extent cx="613156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86570" y="3780000"/>
                        <a:ext cx="6118860" cy="0"/>
                      </a:xfrm>
                      <a:custGeom>
                        <a:rect b="b" l="l" r="r" t="t"/>
                        <a:pathLst>
                          <a:path extrusionOk="0" h="1" w="6118860">
                            <a:moveTo>
                              <a:pt x="0" y="0"/>
                            </a:moveTo>
                            <a:lnTo>
                              <a:pt x="611886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228600</wp:posOffset>
              </wp:positionV>
              <wp:extent cx="6131560" cy="254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156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6223000</wp:posOffset>
              </wp:positionH>
              <wp:positionV relativeFrom="paragraph">
                <wp:posOffset>279400</wp:posOffset>
              </wp:positionV>
              <wp:extent cx="549910" cy="1555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976238" y="3706975"/>
                        <a:ext cx="540385" cy="146050"/>
                      </a:xfrm>
                      <a:custGeom>
                        <a:rect b="b" l="l" r="r" t="t"/>
                        <a:pathLst>
                          <a:path extrusionOk="0" h="146050" w="540385">
                            <a:moveTo>
                              <a:pt x="0" y="0"/>
                            </a:moveTo>
                            <a:lnTo>
                              <a:pt x="0" y="146050"/>
                            </a:lnTo>
                            <a:lnTo>
                              <a:pt x="540385" y="146050"/>
                            </a:lnTo>
                            <a:lnTo>
                              <a:pt x="540385" y="0"/>
                            </a:lnTo>
                            <a:close/>
                          </a:path>
                        </a:pathLst>
                      </a:cu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6223000</wp:posOffset>
              </wp:positionH>
              <wp:positionV relativeFrom="paragraph">
                <wp:posOffset>279400</wp:posOffset>
              </wp:positionV>
              <wp:extent cx="549910" cy="1555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910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129020" cy="1555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186683" y="3706975"/>
                        <a:ext cx="6119495" cy="146050"/>
                      </a:xfrm>
                      <a:custGeom>
                        <a:rect b="b" l="l" r="r" t="t"/>
                        <a:pathLst>
                          <a:path extrusionOk="0" h="146050" w="6119495">
                            <a:moveTo>
                              <a:pt x="0" y="0"/>
                            </a:moveTo>
                            <a:lnTo>
                              <a:pt x="0" y="146050"/>
                            </a:lnTo>
                            <a:lnTo>
                              <a:pt x="6119495" y="146050"/>
                            </a:lnTo>
                            <a:lnTo>
                              <a:pt x="611949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279400</wp:posOffset>
              </wp:positionV>
              <wp:extent cx="6129020" cy="15557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9020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12700</wp:posOffset>
              </wp:positionV>
              <wp:extent cx="6132195" cy="254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286253" y="3780000"/>
                        <a:ext cx="6119495" cy="0"/>
                      </a:xfrm>
                      <a:custGeom>
                        <a:rect b="b" l="l" r="r" t="t"/>
                        <a:pathLst>
                          <a:path extrusionOk="0" h="1" w="6119495">
                            <a:moveTo>
                              <a:pt x="0" y="0"/>
                            </a:moveTo>
                            <a:lnTo>
                              <a:pt x="611949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12700</wp:posOffset>
              </wp:positionV>
              <wp:extent cx="6132195" cy="254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21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⎯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⎯.%3."/>
      <w:lvlJc w:val="left"/>
      <w:pPr>
        <w:ind w:left="720" w:hanging="720"/>
      </w:pPr>
      <w:rPr/>
    </w:lvl>
    <w:lvl w:ilvl="3">
      <w:start w:val="1"/>
      <w:numFmt w:val="decimal"/>
      <w:lvlText w:val="%1.⎯.%3.%4."/>
      <w:lvlJc w:val="left"/>
      <w:pPr>
        <w:ind w:left="720" w:hanging="720"/>
      </w:pPr>
      <w:rPr/>
    </w:lvl>
    <w:lvl w:ilvl="4">
      <w:start w:val="1"/>
      <w:numFmt w:val="decimal"/>
      <w:lvlText w:val="%1.⎯.%3.%4.%5."/>
      <w:lvlJc w:val="left"/>
      <w:pPr>
        <w:ind w:left="1080" w:hanging="1080"/>
      </w:pPr>
      <w:rPr/>
    </w:lvl>
    <w:lvl w:ilvl="5">
      <w:start w:val="1"/>
      <w:numFmt w:val="decimal"/>
      <w:lvlText w:val="%1.⎯.%3.%4.%5.%6."/>
      <w:lvlJc w:val="left"/>
      <w:pPr>
        <w:ind w:left="1080" w:hanging="1080"/>
      </w:pPr>
      <w:rPr/>
    </w:lvl>
    <w:lvl w:ilvl="6">
      <w:start w:val="1"/>
      <w:numFmt w:val="decimal"/>
      <w:lvlText w:val="%1.⎯.%3.%4.%5.%6.%7."/>
      <w:lvlJc w:val="left"/>
      <w:pPr>
        <w:ind w:left="1440" w:hanging="1440"/>
      </w:pPr>
      <w:rPr/>
    </w:lvl>
    <w:lvl w:ilvl="7">
      <w:start w:val="1"/>
      <w:numFmt w:val="decimal"/>
      <w:lvlText w:val="%1.⎯.%3.%4.%5.%6.%7.%8."/>
      <w:lvlJc w:val="left"/>
      <w:pPr>
        <w:ind w:left="1440" w:hanging="1440"/>
      </w:pPr>
      <w:rPr/>
    </w:lvl>
    <w:lvl w:ilvl="8">
      <w:start w:val="1"/>
      <w:numFmt w:val="decimal"/>
      <w:lvlText w:val="%1.⎯.%3.%4.%5.%6.%7.%8.%9."/>
      <w:lvlJc w:val="left"/>
      <w:pPr>
        <w:ind w:left="180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before="0" w:lineRule="auto"/>
      <w:ind w:left="426" w:hanging="426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before="0" w:lineRule="auto"/>
      <w:jc w:val="center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  <w:jc w:val="center"/>
    </w:pPr>
    <w:rPr/>
  </w:style>
  <w:style w:type="paragraph" w:styleId="a" w:default="1">
    <w:name w:val="Normal"/>
    <w:rsid w:val="001C649F"/>
    <w:pPr>
      <w:spacing w:after="100" w:before="10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1C649F"/>
    <w:pPr>
      <w:keepNext w:val="1"/>
      <w:spacing w:after="0" w:before="0"/>
      <w:ind w:left="426" w:hanging="426"/>
      <w:jc w:val="center"/>
      <w:outlineLvl w:val="0"/>
    </w:pPr>
    <w:rPr>
      <w:b w:val="1"/>
      <w:i w:val="1"/>
      <w:szCs w:val="20"/>
    </w:rPr>
  </w:style>
  <w:style w:type="paragraph" w:styleId="2">
    <w:name w:val="heading 2"/>
    <w:basedOn w:val="a"/>
    <w:next w:val="a"/>
    <w:link w:val="20"/>
    <w:uiPriority w:val="9"/>
    <w:qFormat w:val="1"/>
    <w:rsid w:val="001C649F"/>
    <w:pPr>
      <w:keepNext w:val="1"/>
      <w:spacing w:after="60" w:before="240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 w:val="1"/>
    <w:rsid w:val="001C649F"/>
    <w:pPr>
      <w:keepNext w:val="1"/>
      <w:tabs>
        <w:tab w:val="num" w:pos="360"/>
      </w:tabs>
      <w:spacing w:after="0" w:before="0"/>
      <w:jc w:val="center"/>
      <w:outlineLvl w:val="3"/>
    </w:pPr>
    <w:rPr>
      <w:rFonts w:ascii="Arial" w:hAnsi="Arial"/>
      <w:b w:val="1"/>
      <w:i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locked w:val="1"/>
    <w:rsid w:val="001C649F"/>
    <w:rPr>
      <w:rFonts w:ascii="Times New Roman" w:cs="Times New Roman" w:hAnsi="Times New Roman"/>
      <w:b w:val="1"/>
      <w:i w:val="1"/>
      <w:sz w:val="20"/>
      <w:szCs w:val="20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 w:val="1"/>
    <w:locked w:val="1"/>
    <w:rsid w:val="001C649F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40" w:customStyle="1">
    <w:name w:val="Заголовок 4 Знак"/>
    <w:basedOn w:val="a0"/>
    <w:link w:val="4"/>
    <w:uiPriority w:val="9"/>
    <w:locked w:val="1"/>
    <w:rsid w:val="001C649F"/>
    <w:rPr>
      <w:rFonts w:ascii="Arial" w:cs="Times New Roman" w:hAnsi="Arial"/>
      <w:b w:val="1"/>
      <w:i w:val="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 w:val="1"/>
    <w:rsid w:val="001C649F"/>
    <w:pPr>
      <w:spacing w:after="0" w:before="0"/>
      <w:jc w:val="center"/>
    </w:pPr>
    <w:rPr>
      <w:szCs w:val="20"/>
    </w:rPr>
  </w:style>
  <w:style w:type="character" w:styleId="a4" w:customStyle="1">
    <w:name w:val="Название Знак"/>
    <w:basedOn w:val="a0"/>
    <w:link w:val="a3"/>
    <w:uiPriority w:val="10"/>
    <w:locked w:val="1"/>
    <w:rsid w:val="001C649F"/>
    <w:rPr>
      <w:rFonts w:ascii="Times New Roman" w:cs="Times New Roman" w:hAnsi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 w:val="1"/>
    <w:rsid w:val="001C649F"/>
    <w:pPr>
      <w:spacing w:after="0" w:before="0"/>
      <w:ind w:firstLine="567"/>
    </w:pPr>
    <w:rPr>
      <w:szCs w:val="20"/>
    </w:rPr>
  </w:style>
  <w:style w:type="character" w:styleId="a6" w:customStyle="1">
    <w:name w:val="Основной текст с отступом Знак"/>
    <w:basedOn w:val="a0"/>
    <w:link w:val="a5"/>
    <w:uiPriority w:val="99"/>
    <w:semiHidden w:val="1"/>
    <w:locked w:val="1"/>
    <w:rsid w:val="001C649F"/>
    <w:rPr>
      <w:rFonts w:ascii="Times New Roman" w:cs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 w:val="1"/>
    <w:rsid w:val="001C649F"/>
    <w:pPr>
      <w:spacing w:after="0" w:before="0"/>
      <w:ind w:left="426" w:hanging="426"/>
    </w:pPr>
    <w:rPr>
      <w:szCs w:val="20"/>
    </w:rPr>
  </w:style>
  <w:style w:type="character" w:styleId="22" w:customStyle="1">
    <w:name w:val="Основной текст с отступом 2 Знак"/>
    <w:basedOn w:val="a0"/>
    <w:link w:val="21"/>
    <w:uiPriority w:val="99"/>
    <w:semiHidden w:val="1"/>
    <w:locked w:val="1"/>
    <w:rsid w:val="001C649F"/>
    <w:rPr>
      <w:rFonts w:ascii="Times New Roman" w:cs="Times New Roman" w:hAnsi="Times New Roman"/>
      <w:sz w:val="20"/>
      <w:szCs w:val="20"/>
      <w:lang w:eastAsia="ru-RU"/>
    </w:rPr>
  </w:style>
  <w:style w:type="paragraph" w:styleId="a7">
    <w:name w:val="Block Text"/>
    <w:basedOn w:val="a"/>
    <w:uiPriority w:val="99"/>
    <w:semiHidden w:val="1"/>
    <w:rsid w:val="001C649F"/>
    <w:pPr>
      <w:tabs>
        <w:tab w:val="num" w:pos="360"/>
        <w:tab w:val="num" w:pos="709"/>
      </w:tabs>
      <w:spacing w:after="0" w:before="0"/>
      <w:ind w:left="709" w:right="566" w:hanging="709"/>
      <w:jc w:val="both"/>
    </w:pPr>
    <w:rPr>
      <w:rFonts w:ascii="Arial" w:hAnsi="Arial"/>
      <w:sz w:val="18"/>
      <w:szCs w:val="20"/>
    </w:rPr>
  </w:style>
  <w:style w:type="paragraph" w:styleId="3">
    <w:name w:val="Body Text Indent 3"/>
    <w:basedOn w:val="a"/>
    <w:link w:val="30"/>
    <w:uiPriority w:val="99"/>
    <w:semiHidden w:val="1"/>
    <w:rsid w:val="001C649F"/>
    <w:pPr>
      <w:spacing w:after="0" w:before="0"/>
      <w:ind w:left="426" w:hanging="426"/>
    </w:pPr>
    <w:rPr>
      <w:sz w:val="22"/>
      <w:szCs w:val="20"/>
    </w:rPr>
  </w:style>
  <w:style w:type="character" w:styleId="30" w:customStyle="1">
    <w:name w:val="Основной текст с отступом 3 Знак"/>
    <w:basedOn w:val="a0"/>
    <w:link w:val="3"/>
    <w:uiPriority w:val="99"/>
    <w:semiHidden w:val="1"/>
    <w:locked w:val="1"/>
    <w:rsid w:val="001C649F"/>
    <w:rPr>
      <w:rFonts w:ascii="Times New Roman" w:cs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C649F"/>
    <w:pPr>
      <w:overflowPunct w:val="0"/>
      <w:autoSpaceDE w:val="0"/>
      <w:autoSpaceDN w:val="0"/>
      <w:adjustRightInd w:val="0"/>
      <w:spacing w:after="0" w:before="0"/>
      <w:jc w:val="both"/>
      <w:textAlignment w:val="baseline"/>
    </w:pPr>
    <w:rPr>
      <w:rFonts w:ascii="Arial" w:hAnsi="Arial"/>
      <w:b w:val="1"/>
      <w:szCs w:val="20"/>
      <w:u w:val="single"/>
    </w:rPr>
  </w:style>
  <w:style w:type="character" w:styleId="24" w:customStyle="1">
    <w:name w:val="Основной текст 2 Знак"/>
    <w:basedOn w:val="a0"/>
    <w:link w:val="23"/>
    <w:uiPriority w:val="99"/>
    <w:semiHidden w:val="1"/>
    <w:locked w:val="1"/>
    <w:rsid w:val="001C649F"/>
    <w:rPr>
      <w:rFonts w:ascii="Times New Roman" w:cs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 w:val="1"/>
    <w:rsid w:val="001C649F"/>
    <w:pPr>
      <w:tabs>
        <w:tab w:val="center" w:pos="4677"/>
        <w:tab w:val="right" w:pos="9355"/>
      </w:tabs>
      <w:spacing w:after="0" w:before="0"/>
    </w:pPr>
    <w:rPr>
      <w:sz w:val="20"/>
      <w:szCs w:val="20"/>
    </w:rPr>
  </w:style>
  <w:style w:type="character" w:styleId="a9" w:customStyle="1">
    <w:name w:val="Нижний колонтитул Знак"/>
    <w:basedOn w:val="a0"/>
    <w:link w:val="a8"/>
    <w:uiPriority w:val="99"/>
    <w:semiHidden w:val="1"/>
    <w:locked w:val="1"/>
    <w:rsid w:val="001C649F"/>
    <w:rPr>
      <w:rFonts w:ascii="Times New Roman" w:cs="Times New Roman" w:hAnsi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 w:val="1"/>
    <w:rsid w:val="001C649F"/>
    <w:rPr>
      <w:rFonts w:cs="Times New Roman"/>
    </w:rPr>
  </w:style>
  <w:style w:type="table" w:styleId="ab">
    <w:name w:val="Table Grid"/>
    <w:basedOn w:val="a1"/>
    <w:uiPriority w:val="59"/>
    <w:rsid w:val="001C649F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c">
    <w:name w:val="No Spacing"/>
    <w:link w:val="ad"/>
    <w:uiPriority w:val="1"/>
    <w:qFormat w:val="1"/>
    <w:rsid w:val="001C649F"/>
    <w:rPr>
      <w:sz w:val="22"/>
      <w:szCs w:val="22"/>
      <w:lang w:eastAsia="en-US"/>
    </w:rPr>
  </w:style>
  <w:style w:type="character" w:styleId="ad" w:customStyle="1">
    <w:name w:val="Без интервала Знак"/>
    <w:basedOn w:val="a0"/>
    <w:link w:val="ac"/>
    <w:uiPriority w:val="1"/>
    <w:locked w:val="1"/>
    <w:rsid w:val="001C649F"/>
    <w:rPr>
      <w:rFonts w:cs="Times New Roman" w:eastAsia="Times New Roman"/>
      <w:sz w:val="22"/>
      <w:szCs w:val="22"/>
      <w:lang w:bidi="ar-SA" w:eastAsia="en-US" w:val="ru-RU"/>
    </w:rPr>
  </w:style>
  <w:style w:type="paragraph" w:styleId="ae">
    <w:name w:val="Balloon Text"/>
    <w:basedOn w:val="a"/>
    <w:link w:val="af"/>
    <w:uiPriority w:val="99"/>
    <w:semiHidden w:val="1"/>
    <w:unhideWhenUsed w:val="1"/>
    <w:rsid w:val="001C649F"/>
    <w:pPr>
      <w:spacing w:after="0" w:before="0"/>
    </w:pPr>
    <w:rPr>
      <w:rFonts w:ascii="Tahoma" w:cs="Tahoma" w:hAnsi="Tahoma"/>
      <w:sz w:val="16"/>
      <w:szCs w:val="16"/>
    </w:rPr>
  </w:style>
  <w:style w:type="character" w:styleId="af" w:customStyle="1">
    <w:name w:val="Текст выноски Знак"/>
    <w:basedOn w:val="a0"/>
    <w:link w:val="ae"/>
    <w:uiPriority w:val="99"/>
    <w:semiHidden w:val="1"/>
    <w:locked w:val="1"/>
    <w:rsid w:val="001C649F"/>
    <w:rPr>
      <w:rFonts w:ascii="Tahoma" w:cs="Tahoma" w:hAnsi="Tahoma"/>
      <w:sz w:val="16"/>
      <w:szCs w:val="16"/>
    </w:rPr>
  </w:style>
  <w:style w:type="paragraph" w:styleId="af0">
    <w:name w:val="header"/>
    <w:basedOn w:val="a"/>
    <w:link w:val="af1"/>
    <w:uiPriority w:val="99"/>
    <w:semiHidden w:val="1"/>
    <w:unhideWhenUsed w:val="1"/>
    <w:rsid w:val="001C649F"/>
    <w:pPr>
      <w:tabs>
        <w:tab w:val="center" w:pos="4677"/>
        <w:tab w:val="right" w:pos="9355"/>
      </w:tabs>
      <w:spacing w:after="0" w:before="0"/>
    </w:pPr>
    <w:rPr>
      <w:sz w:val="20"/>
      <w:szCs w:val="20"/>
    </w:rPr>
  </w:style>
  <w:style w:type="character" w:styleId="af1" w:customStyle="1">
    <w:name w:val="Верхний колонтитул Знак"/>
    <w:basedOn w:val="a0"/>
    <w:link w:val="af0"/>
    <w:uiPriority w:val="99"/>
    <w:semiHidden w:val="1"/>
    <w:locked w:val="1"/>
    <w:rsid w:val="001C649F"/>
    <w:rPr>
      <w:rFonts w:ascii="Times New Roman" w:cs="Times New Roman" w:hAnsi="Times New Roman"/>
    </w:rPr>
  </w:style>
  <w:style w:type="paragraph" w:styleId="ConsPlusNonformat" w:customStyle="1">
    <w:name w:val="ConsPlusNonformat"/>
    <w:uiPriority w:val="99"/>
    <w:rsid w:val="001C649F"/>
    <w:pPr>
      <w:autoSpaceDE w:val="0"/>
      <w:autoSpaceDN w:val="0"/>
      <w:adjustRightInd w:val="0"/>
    </w:pPr>
    <w:rPr>
      <w:rFonts w:ascii="Courier New" w:cs="Courier New" w:hAnsi="Courier New"/>
    </w:rPr>
  </w:style>
  <w:style w:type="paragraph" w:styleId="af2">
    <w:name w:val="Normal (Web)"/>
    <w:basedOn w:val="a"/>
    <w:uiPriority w:val="99"/>
    <w:rsid w:val="001C649F"/>
    <w:pPr>
      <w:spacing w:after="105" w:before="105"/>
    </w:pPr>
    <w:rPr>
      <w:rFonts w:ascii="Verdana" w:hAnsi="Verdana"/>
      <w:sz w:val="17"/>
      <w:szCs w:val="17"/>
    </w:rPr>
  </w:style>
  <w:style w:type="paragraph" w:styleId="af3" w:customStyle="1">
    <w:name w:val="Ариал"/>
    <w:basedOn w:val="a"/>
    <w:rsid w:val="001C649F"/>
    <w:pPr>
      <w:spacing w:after="120" w:before="120" w:line="360" w:lineRule="auto"/>
      <w:ind w:firstLine="851"/>
      <w:jc w:val="both"/>
    </w:pPr>
    <w:rPr>
      <w:rFonts w:ascii="Arial" w:cs="Arial" w:hAnsi="Arial"/>
    </w:rPr>
  </w:style>
  <w:style w:type="paragraph" w:styleId="af4">
    <w:name w:val="Body Text"/>
    <w:basedOn w:val="a"/>
    <w:link w:val="af5"/>
    <w:uiPriority w:val="99"/>
    <w:semiHidden w:val="1"/>
    <w:unhideWhenUsed w:val="1"/>
    <w:rsid w:val="001C649F"/>
    <w:pPr>
      <w:spacing w:after="120" w:before="0"/>
    </w:pPr>
    <w:rPr>
      <w:sz w:val="20"/>
      <w:szCs w:val="20"/>
    </w:rPr>
  </w:style>
  <w:style w:type="character" w:styleId="af5" w:customStyle="1">
    <w:name w:val="Основной текст Знак"/>
    <w:basedOn w:val="a0"/>
    <w:link w:val="af4"/>
    <w:uiPriority w:val="99"/>
    <w:semiHidden w:val="1"/>
    <w:locked w:val="1"/>
    <w:rsid w:val="001C649F"/>
    <w:rPr>
      <w:rFonts w:ascii="Times New Roman" w:cs="Times New Roman" w:hAnsi="Times New Roman"/>
    </w:rPr>
  </w:style>
  <w:style w:type="paragraph" w:styleId="11" w:customStyle="1">
    <w:name w:val="Обычный1"/>
    <w:rsid w:val="001C649F"/>
    <w:pPr>
      <w:widowControl w:val="0"/>
      <w:autoSpaceDE w:val="0"/>
      <w:autoSpaceDN w:val="0"/>
      <w:spacing w:after="120" w:before="120"/>
      <w:ind w:firstLine="567"/>
      <w:jc w:val="both"/>
    </w:pPr>
    <w:rPr>
      <w:rFonts w:ascii="Times New Roman" w:hAnsi="Times New Roman"/>
    </w:rPr>
  </w:style>
  <w:style w:type="paragraph" w:styleId="ConsNormal" w:customStyle="1">
    <w:name w:val="ConsNormal"/>
    <w:uiPriority w:val="99"/>
    <w:rsid w:val="001C649F"/>
    <w:pPr>
      <w:widowControl w:val="0"/>
      <w:autoSpaceDE w:val="0"/>
      <w:autoSpaceDN w:val="0"/>
      <w:adjustRightInd w:val="0"/>
      <w:ind w:right="19772" w:firstLine="720"/>
    </w:pPr>
    <w:rPr>
      <w:rFonts w:ascii="Arial" w:cs="Arial" w:hAnsi="Arial"/>
    </w:rPr>
  </w:style>
  <w:style w:type="paragraph" w:styleId="ConsNonformat" w:customStyle="1">
    <w:name w:val="ConsNonformat"/>
    <w:uiPriority w:val="99"/>
    <w:rsid w:val="001C649F"/>
    <w:pPr>
      <w:widowControl w:val="0"/>
      <w:autoSpaceDE w:val="0"/>
      <w:autoSpaceDN w:val="0"/>
      <w:adjustRightInd w:val="0"/>
      <w:ind w:right="19772"/>
    </w:pPr>
    <w:rPr>
      <w:rFonts w:ascii="Courier New" w:cs="Courier New" w:hAnsi="Courier New"/>
    </w:rPr>
  </w:style>
  <w:style w:type="paragraph" w:styleId="12" w:customStyle="1">
    <w:name w:val="Абзац списка1"/>
    <w:basedOn w:val="a"/>
    <w:uiPriority w:val="34"/>
    <w:qFormat w:val="1"/>
    <w:rsid w:val="001C649F"/>
    <w:pPr>
      <w:spacing w:after="0" w:before="0"/>
      <w:ind w:left="708"/>
    </w:pPr>
    <w:rPr>
      <w:sz w:val="20"/>
      <w:szCs w:val="20"/>
    </w:rPr>
  </w:style>
  <w:style w:type="character" w:styleId="apple-converted-space" w:customStyle="1">
    <w:name w:val="apple-converted-space"/>
    <w:basedOn w:val="a0"/>
    <w:rsid w:val="001C649F"/>
    <w:rPr>
      <w:rFonts w:cs="Times New Roman"/>
    </w:rPr>
  </w:style>
  <w:style w:type="character" w:styleId="DeltaViewInsertion" w:customStyle="1">
    <w:name w:val="DeltaView Insertion"/>
    <w:rsid w:val="001C649F"/>
    <w:rPr>
      <w:color w:val="0000ff"/>
      <w:spacing w:val="0"/>
      <w:u w:val="double"/>
    </w:rPr>
  </w:style>
  <w:style w:type="character" w:styleId="af6">
    <w:name w:val="Hyperlink"/>
    <w:basedOn w:val="a0"/>
    <w:uiPriority w:val="99"/>
    <w:rsid w:val="001C649F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7YHDJYVTRdaBi3QmroK/RBPUoQ==">AMUW2mVvQ82kpphVWsA1p77oN/buaXHqCFxpixq9zaZY24YefzCdfSKqQ5jPKAa8pymRKP1/Dl4jydI0W0dIvr2oIwwv9PVN0QGEj18OhdjQE8XDWKUKo5c=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2020-01-19T14:28:00Z</dcterms:created>
  <dc:creator>Форма договора.рф</dc:creator>
</cp:coreProperties>
</file>