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80" w:before="300" w:line="308.5714285714286" w:lineRule="auto"/>
        <w:jc w:val="center"/>
        <w:rPr>
          <w:rFonts w:ascii="Merriweather" w:cs="Merriweather" w:eastAsia="Merriweather" w:hAnsi="Merriweather"/>
          <w:b w:val="1"/>
          <w:color w:val="0a0a0a"/>
          <w:sz w:val="42"/>
          <w:szCs w:val="4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a0a0a"/>
          <w:sz w:val="42"/>
          <w:szCs w:val="42"/>
          <w:rtl w:val="0"/>
        </w:rPr>
        <w:t xml:space="preserve">Федеральная налоговая служба</w:t>
      </w:r>
    </w:p>
    <w:p w:rsidR="00000000" w:rsidDel="00000000" w:rsidP="00000000" w:rsidRDefault="00000000" w:rsidRPr="00000000" w14:paraId="00000002">
      <w:pPr>
        <w:spacing w:before="120" w:line="308.5714285714286" w:lineRule="auto"/>
        <w:jc w:val="center"/>
        <w:rPr>
          <w:rFonts w:ascii="Merriweather" w:cs="Merriweather" w:eastAsia="Merriweather" w:hAnsi="Merriweather"/>
          <w:b w:val="1"/>
          <w:color w:val="0a0a0a"/>
          <w:sz w:val="42"/>
          <w:szCs w:val="4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a0a0a"/>
          <w:sz w:val="42"/>
          <w:szCs w:val="42"/>
        </w:rPr>
        <w:drawing>
          <wp:inline distB="114300" distT="114300" distL="114300" distR="114300">
            <wp:extent cx="673100" cy="736600"/>
            <wp:effectExtent b="0" l="0" r="0" t="0"/>
            <wp:docPr descr="Герб" id="1" name="image1.gif"/>
            <a:graphic>
              <a:graphicData uri="http://schemas.openxmlformats.org/drawingml/2006/picture">
                <pic:pic>
                  <pic:nvPicPr>
                    <pic:cNvPr descr="Герб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80" w:before="300" w:line="308.5714285714286" w:lineRule="auto"/>
        <w:jc w:val="center"/>
        <w:rPr>
          <w:rFonts w:ascii="Merriweather" w:cs="Merriweather" w:eastAsia="Merriweather" w:hAnsi="Merriweather"/>
          <w:b w:val="1"/>
          <w:color w:val="0a0a0a"/>
          <w:sz w:val="42"/>
          <w:szCs w:val="4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a0a0a"/>
          <w:sz w:val="42"/>
          <w:szCs w:val="42"/>
          <w:rtl w:val="0"/>
        </w:rPr>
        <w:t xml:space="preserve">Письмо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pacing w:after="0" w:before="240" w:line="308.5714285714286" w:lineRule="auto"/>
        <w:jc w:val="center"/>
        <w:rPr>
          <w:rFonts w:ascii="Merriweather" w:cs="Merriweather" w:eastAsia="Merriweather" w:hAnsi="Merriweather"/>
          <w:b w:val="1"/>
          <w:color w:val="0a0a0a"/>
          <w:sz w:val="42"/>
          <w:szCs w:val="42"/>
        </w:rPr>
      </w:pPr>
      <w:bookmarkStart w:colFirst="0" w:colLast="0" w:name="_8340cjoiskei" w:id="0"/>
      <w:bookmarkEnd w:id="0"/>
      <w:r w:rsidDel="00000000" w:rsidR="00000000" w:rsidRPr="00000000">
        <w:rPr>
          <w:rFonts w:ascii="Arial Unicode MS" w:cs="Arial Unicode MS" w:eastAsia="Arial Unicode MS" w:hAnsi="Arial Unicode MS"/>
          <w:b w:val="1"/>
          <w:color w:val="0a0a0a"/>
          <w:sz w:val="42"/>
          <w:szCs w:val="42"/>
          <w:rtl w:val="0"/>
        </w:rPr>
        <w:t xml:space="preserve">№ СД-4-3/15409 от 05.08.2019</w:t>
      </w:r>
    </w:p>
    <w:p w:rsidR="00000000" w:rsidDel="00000000" w:rsidP="00000000" w:rsidRDefault="00000000" w:rsidRPr="00000000" w14:paraId="00000005">
      <w:pPr>
        <w:spacing w:after="360" w:before="120" w:line="240" w:lineRule="auto"/>
        <w:ind w:right="48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fldChar w:fldCharType="begin"/>
        <w:instrText xml:space="preserve"> HYPERLINK "https://www.klerk.ru/doc/524145/#comments" </w:instrText>
        <w:fldChar w:fldCharType="separate"/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Комментировать</w:t>
      </w:r>
    </w:p>
    <w:p w:rsidR="00000000" w:rsidDel="00000000" w:rsidP="00000000" w:rsidRDefault="00000000" w:rsidRPr="00000000" w14:paraId="00000006">
      <w:pPr>
        <w:spacing w:after="340" w:before="100" w:line="270" w:lineRule="auto"/>
        <w:ind w:left="-20" w:right="2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Открыть окно выбора социальных сетей для шаринга материала</w:t>
      </w:r>
    </w:p>
    <w:p w:rsidR="00000000" w:rsidDel="00000000" w:rsidP="00000000" w:rsidRDefault="00000000" w:rsidRPr="00000000" w14:paraId="00000007">
      <w:pPr>
        <w:spacing w:after="360" w:before="120" w:line="240" w:lineRule="auto"/>
        <w:ind w:right="360"/>
        <w:rPr>
          <w:rFonts w:ascii="Roboto" w:cs="Roboto" w:eastAsia="Roboto" w:hAnsi="Roboto"/>
          <w:color w:val="99999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999999"/>
          <w:sz w:val="21"/>
          <w:szCs w:val="21"/>
          <w:rtl w:val="0"/>
        </w:rPr>
        <w:t xml:space="preserve">402</w:t>
      </w:r>
    </w:p>
    <w:p w:rsidR="00000000" w:rsidDel="00000000" w:rsidP="00000000" w:rsidRDefault="00000000" w:rsidRPr="00000000" w14:paraId="00000008">
      <w:pPr>
        <w:spacing w:after="360" w:before="240" w:line="285" w:lineRule="auto"/>
        <w:rPr>
          <w:rFonts w:ascii="Roboto" w:cs="Roboto" w:eastAsia="Roboto" w:hAnsi="Roboto"/>
          <w:b w:val="1"/>
          <w:color w:val="0a0a0a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a0a0a"/>
          <w:sz w:val="24"/>
          <w:szCs w:val="24"/>
          <w:rtl w:val="0"/>
        </w:rPr>
        <w:t xml:space="preserve">Скачать</w:t>
      </w:r>
    </w:p>
    <w:p w:rsidR="00000000" w:rsidDel="00000000" w:rsidP="00000000" w:rsidRDefault="00000000" w:rsidRPr="00000000" w14:paraId="00000009">
      <w:pPr>
        <w:spacing w:after="240" w:line="346.66666666666663" w:lineRule="auto"/>
        <w:rPr>
          <w:rFonts w:ascii="Roboto" w:cs="Roboto" w:eastAsia="Roboto" w:hAnsi="Roboto"/>
          <w:color w:val="0a0a0a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b w:val="1"/>
          <w:color w:val="0a0a0a"/>
          <w:sz w:val="27"/>
          <w:szCs w:val="27"/>
          <w:rtl w:val="0"/>
        </w:rPr>
        <w:t xml:space="preserve">Вопрос:</w:t>
      </w:r>
      <w:r w:rsidDel="00000000" w:rsidR="00000000" w:rsidRPr="00000000">
        <w:rPr>
          <w:rFonts w:ascii="Roboto" w:cs="Roboto" w:eastAsia="Roboto" w:hAnsi="Roboto"/>
          <w:color w:val="0a0a0a"/>
          <w:sz w:val="27"/>
          <w:szCs w:val="27"/>
          <w:rtl w:val="0"/>
        </w:rPr>
        <w:t xml:space="preserve"> О применении НПД при получении физлицом дохода от использования авторских прав, от предоставления права использования его интеллектуальной собственности и при реализации через посредника.</w:t>
      </w:r>
    </w:p>
    <w:p w:rsidR="00000000" w:rsidDel="00000000" w:rsidP="00000000" w:rsidRDefault="00000000" w:rsidRPr="00000000" w14:paraId="0000000A">
      <w:pPr>
        <w:spacing w:after="240" w:before="240" w:line="346.66666666666663" w:lineRule="auto"/>
        <w:rPr>
          <w:rFonts w:ascii="Roboto" w:cs="Roboto" w:eastAsia="Roboto" w:hAnsi="Roboto"/>
          <w:color w:val="0a0a0a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0a0a0a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="346.66666666666663" w:lineRule="auto"/>
        <w:rPr>
          <w:rFonts w:ascii="Roboto" w:cs="Roboto" w:eastAsia="Roboto" w:hAnsi="Roboto"/>
          <w:color w:val="0a0a0a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b w:val="1"/>
          <w:color w:val="0a0a0a"/>
          <w:sz w:val="27"/>
          <w:szCs w:val="27"/>
          <w:rtl w:val="0"/>
        </w:rPr>
        <w:t xml:space="preserve">Ответ: </w:t>
      </w:r>
      <w:r w:rsidDel="00000000" w:rsidR="00000000" w:rsidRPr="00000000">
        <w:rPr>
          <w:rFonts w:ascii="Roboto" w:cs="Roboto" w:eastAsia="Roboto" w:hAnsi="Roboto"/>
          <w:color w:val="0a0a0a"/>
          <w:sz w:val="27"/>
          <w:szCs w:val="27"/>
          <w:rtl w:val="0"/>
        </w:rPr>
        <w:t xml:space="preserve">Федеральная налоговая служба, рассмотрев запрос, сообщает следующее.</w:t>
      </w:r>
    </w:p>
    <w:p w:rsidR="00000000" w:rsidDel="00000000" w:rsidP="00000000" w:rsidRDefault="00000000" w:rsidRPr="00000000" w14:paraId="0000000C">
      <w:pPr>
        <w:spacing w:after="240" w:before="240" w:line="346.66666666666663" w:lineRule="auto"/>
        <w:rPr>
          <w:rFonts w:ascii="Roboto" w:cs="Roboto" w:eastAsia="Roboto" w:hAnsi="Roboto"/>
          <w:color w:val="0a0a0a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0a0a0a"/>
          <w:sz w:val="27"/>
          <w:szCs w:val="27"/>
          <w:rtl w:val="0"/>
        </w:rPr>
        <w:t xml:space="preserve">На основании части 1 статьи 2 Федерального закона от 27.11.2018 N 422-ФЗ "О проведении эксперимента по установлению специального налогового режима "Налог на профессиональный доход" в городе федерального значения Москве, в Московской и Калужской областях, а также в Республике Татарстан (Татарстан)" (далее - Закон N 422-ФЗ) применять специальный налоговый режим "Налог на профессиональный доход" (далее - НПД) вправе физические лица, в том числе индивидуальные предприниматели, местом ведения деятельности которых является территория любого из субъектов Российской Федерации, включенных в эксперимент.</w:t>
      </w:r>
    </w:p>
    <w:p w:rsidR="00000000" w:rsidDel="00000000" w:rsidP="00000000" w:rsidRDefault="00000000" w:rsidRPr="00000000" w14:paraId="0000000D">
      <w:pPr>
        <w:spacing w:after="240" w:before="240" w:line="346.66666666666663" w:lineRule="auto"/>
        <w:rPr>
          <w:rFonts w:ascii="Roboto" w:cs="Roboto" w:eastAsia="Roboto" w:hAnsi="Roboto"/>
          <w:color w:val="0a0a0a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0a0a0a"/>
          <w:sz w:val="27"/>
          <w:szCs w:val="27"/>
          <w:rtl w:val="0"/>
        </w:rPr>
        <w:t xml:space="preserve">Согласно части 1 статьи 6 Закона N 422-ФЗ объектом налогообложения признаются доходы от реализации товаров (работ, услуг, имущественных прав).</w:t>
      </w:r>
    </w:p>
    <w:p w:rsidR="00000000" w:rsidDel="00000000" w:rsidP="00000000" w:rsidRDefault="00000000" w:rsidRPr="00000000" w14:paraId="0000000E">
      <w:pPr>
        <w:spacing w:after="240" w:before="240" w:line="346.66666666666663" w:lineRule="auto"/>
        <w:rPr>
          <w:rFonts w:ascii="Roboto" w:cs="Roboto" w:eastAsia="Roboto" w:hAnsi="Roboto"/>
          <w:color w:val="0a0a0a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0a0a0a"/>
          <w:sz w:val="27"/>
          <w:szCs w:val="27"/>
          <w:rtl w:val="0"/>
        </w:rPr>
        <w:t xml:space="preserve">В соответствии с частью 7 статьи 2 Закона N 422-ФЗ профессиональным доходом признается доход физических лиц от деятельности, при ведении которой они не имеют работодателя и не привлекают наемных работников по трудовым договорам, а также доход от использования имущества.</w:t>
      </w:r>
    </w:p>
    <w:p w:rsidR="00000000" w:rsidDel="00000000" w:rsidP="00000000" w:rsidRDefault="00000000" w:rsidRPr="00000000" w14:paraId="0000000F">
      <w:pPr>
        <w:spacing w:after="240" w:before="240" w:line="346.66666666666663" w:lineRule="auto"/>
        <w:rPr>
          <w:rFonts w:ascii="Roboto" w:cs="Roboto" w:eastAsia="Roboto" w:hAnsi="Roboto"/>
          <w:color w:val="0a0a0a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0a0a0a"/>
          <w:sz w:val="27"/>
          <w:szCs w:val="27"/>
          <w:rtl w:val="0"/>
        </w:rPr>
        <w:t xml:space="preserve">Таким образом, при соблюдении ограничений, предусмотренных Законом N 422-ФЗ, физическое лицо, получающее доход от использования своих авторских прав, вправе применять НПД, в том числе в соответствии с договором с иностранной компанией.</w:t>
      </w:r>
    </w:p>
    <w:p w:rsidR="00000000" w:rsidDel="00000000" w:rsidP="00000000" w:rsidRDefault="00000000" w:rsidRPr="00000000" w14:paraId="00000010">
      <w:pPr>
        <w:spacing w:after="240" w:before="240" w:line="346.66666666666663" w:lineRule="auto"/>
        <w:rPr>
          <w:rFonts w:ascii="Roboto" w:cs="Roboto" w:eastAsia="Roboto" w:hAnsi="Roboto"/>
          <w:color w:val="0a0a0a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0a0a0a"/>
          <w:sz w:val="27"/>
          <w:szCs w:val="27"/>
          <w:rtl w:val="0"/>
        </w:rPr>
        <w:t xml:space="preserve">При этом Закон N 422-ФЗ не содержит запрета на применение физическим лицом специального налогового режима НПД в отношении доходов от предоставления права использования его интеллектуальной собственности по договору, заключенному таким физическим лицом с юридическим лицом в связи с передачей последнему прав по продаже лицензий.</w:t>
      </w:r>
    </w:p>
    <w:p w:rsidR="00000000" w:rsidDel="00000000" w:rsidP="00000000" w:rsidRDefault="00000000" w:rsidRPr="00000000" w14:paraId="00000011">
      <w:pPr>
        <w:spacing w:after="240" w:before="240" w:line="346.66666666666663" w:lineRule="auto"/>
        <w:rPr>
          <w:rFonts w:ascii="Roboto" w:cs="Roboto" w:eastAsia="Roboto" w:hAnsi="Roboto"/>
          <w:color w:val="0a0a0a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0a0a0a"/>
          <w:sz w:val="27"/>
          <w:szCs w:val="27"/>
          <w:rtl w:val="0"/>
        </w:rPr>
        <w:t xml:space="preserve">Одновременно сообщаем, что на основании части 2 статьи 14 Закона N 422-ФЗ при реализации товаров (работ, услуг, имущественных прав) в интересах налогоплательщика НПД на основе договоров поручения, договоров комиссии либо агентских договоров с участием посредника в расчетах у налогоплательщика НПД отсутствует обязанность по передаче покупателю (заказчику) чека по таким операциям.</w:t>
      </w:r>
    </w:p>
    <w:p w:rsidR="00000000" w:rsidDel="00000000" w:rsidP="00000000" w:rsidRDefault="00000000" w:rsidRPr="00000000" w14:paraId="00000012">
      <w:pPr>
        <w:spacing w:after="240" w:before="240" w:line="346.66666666666663" w:lineRule="auto"/>
        <w:rPr>
          <w:rFonts w:ascii="Roboto" w:cs="Roboto" w:eastAsia="Roboto" w:hAnsi="Roboto"/>
          <w:color w:val="0a0a0a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0a0a0a"/>
          <w:sz w:val="27"/>
          <w:szCs w:val="27"/>
          <w:rtl w:val="0"/>
        </w:rPr>
        <w:t xml:space="preserve">При этом в соответствии с частью 2 статьи 7 Закона N 422-ФЗ при реализации налогоплательщиком товаров (работ, услуг, имущественных прав) на основании договоров поручения, договоров комиссии или агентских договоров с участием посредника в расчетах доход считается полученным налогоплательщиком в последний день месяца получения посредником денежных средств.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