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74" w:rsidRPr="00D75574" w:rsidRDefault="00D75574">
      <w:pPr>
        <w:pStyle w:val="ConsPlusTitlePage"/>
        <w:rPr>
          <w:lang w:val="ru-RU"/>
        </w:rPr>
      </w:pPr>
      <w:r w:rsidRPr="00D75574">
        <w:rPr>
          <w:lang w:val="ru-RU"/>
        </w:rPr>
        <w:t xml:space="preserve">Документ предоставлен </w:t>
      </w:r>
      <w:hyperlink r:id="rId4">
        <w:r w:rsidRPr="00D75574">
          <w:rPr>
            <w:color w:val="0000FF"/>
            <w:lang w:val="ru-RU"/>
          </w:rPr>
          <w:t>КонсультантПлюс</w:t>
        </w:r>
      </w:hyperlink>
      <w:r w:rsidRPr="00D75574">
        <w:rPr>
          <w:lang w:val="ru-RU"/>
        </w:rPr>
        <w:br/>
      </w:r>
    </w:p>
    <w:p w:rsidR="00D75574" w:rsidRPr="00D75574" w:rsidRDefault="00D75574">
      <w:pPr>
        <w:pStyle w:val="ConsPlusNormal"/>
        <w:jc w:val="both"/>
        <w:outlineLvl w:val="0"/>
        <w:rPr>
          <w:lang w:val="ru-RU"/>
        </w:rPr>
      </w:pPr>
    </w:p>
    <w:p w:rsidR="00D75574" w:rsidRPr="00D75574" w:rsidRDefault="00D75574">
      <w:pPr>
        <w:pStyle w:val="ConsPlusNormal"/>
        <w:ind w:firstLine="540"/>
        <w:jc w:val="both"/>
        <w:rPr>
          <w:lang w:val="ru-RU"/>
        </w:rPr>
      </w:pPr>
      <w:r w:rsidRPr="00D75574">
        <w:rPr>
          <w:b/>
          <w:lang w:val="ru-RU"/>
        </w:rPr>
        <w:t>Вопрос:</w:t>
      </w:r>
      <w:r w:rsidRPr="00D75574">
        <w:rPr>
          <w:lang w:val="ru-RU"/>
        </w:rPr>
        <w:t xml:space="preserve"> Об условиях применения пониженных ставок по налогу на прибыль и тарифов страховых взносов </w:t>
      </w:r>
      <w:r>
        <w:t>IT</w:t>
      </w:r>
      <w:r w:rsidRPr="00D75574">
        <w:rPr>
          <w:lang w:val="ru-RU"/>
        </w:rPr>
        <w:t xml:space="preserve">-организацией, в том числе применяющей УСН, и определении доходов от </w:t>
      </w:r>
      <w:r>
        <w:t>IT</w:t>
      </w:r>
      <w:r w:rsidRPr="00D75574">
        <w:rPr>
          <w:lang w:val="ru-RU"/>
        </w:rPr>
        <w:t>-деятельности.</w:t>
      </w:r>
    </w:p>
    <w:p w:rsidR="00D75574" w:rsidRPr="00D75574" w:rsidRDefault="00D75574">
      <w:pPr>
        <w:pStyle w:val="ConsPlusNormal"/>
        <w:jc w:val="both"/>
        <w:rPr>
          <w:lang w:val="ru-RU"/>
        </w:rPr>
      </w:pPr>
    </w:p>
    <w:p w:rsidR="00D75574" w:rsidRPr="00D75574" w:rsidRDefault="00D75574">
      <w:pPr>
        <w:pStyle w:val="ConsPlusNormal"/>
        <w:ind w:firstLine="540"/>
        <w:jc w:val="both"/>
        <w:rPr>
          <w:lang w:val="ru-RU"/>
        </w:rPr>
      </w:pPr>
      <w:r w:rsidRPr="00D75574">
        <w:rPr>
          <w:b/>
          <w:lang w:val="ru-RU"/>
        </w:rPr>
        <w:t>Ответ:</w:t>
      </w:r>
    </w:p>
    <w:p w:rsidR="00D75574" w:rsidRPr="00D75574" w:rsidRDefault="00D75574">
      <w:pPr>
        <w:pStyle w:val="ConsPlusTitle"/>
        <w:spacing w:before="200"/>
        <w:jc w:val="center"/>
        <w:rPr>
          <w:lang w:val="ru-RU"/>
        </w:rPr>
      </w:pPr>
      <w:r w:rsidRPr="00D75574">
        <w:rPr>
          <w:lang w:val="ru-RU"/>
        </w:rPr>
        <w:t>МИНИСТЕРСТВО ФИНАНСОВ РОССИЙСКОЙ ФЕДЕРАЦИИ</w:t>
      </w:r>
    </w:p>
    <w:p w:rsidR="00D75574" w:rsidRPr="00D75574" w:rsidRDefault="00D75574">
      <w:pPr>
        <w:pStyle w:val="ConsPlusTitle"/>
        <w:jc w:val="center"/>
        <w:rPr>
          <w:lang w:val="ru-RU"/>
        </w:rPr>
      </w:pPr>
    </w:p>
    <w:p w:rsidR="00D75574" w:rsidRPr="00D75574" w:rsidRDefault="00D75574">
      <w:pPr>
        <w:pStyle w:val="ConsPlusTitle"/>
        <w:jc w:val="center"/>
        <w:rPr>
          <w:lang w:val="ru-RU"/>
        </w:rPr>
      </w:pPr>
      <w:r w:rsidRPr="00D75574">
        <w:rPr>
          <w:lang w:val="ru-RU"/>
        </w:rPr>
        <w:t>ПИСЬМО</w:t>
      </w:r>
    </w:p>
    <w:p w:rsidR="00D75574" w:rsidRPr="00D75574" w:rsidRDefault="00D75574">
      <w:pPr>
        <w:pStyle w:val="ConsPlusTitle"/>
        <w:jc w:val="center"/>
        <w:rPr>
          <w:lang w:val="ru-RU"/>
        </w:rPr>
      </w:pPr>
      <w:r w:rsidRPr="00D75574">
        <w:rPr>
          <w:lang w:val="ru-RU"/>
        </w:rPr>
        <w:t xml:space="preserve">от 28 октября 2022 г. </w:t>
      </w:r>
      <w:r>
        <w:t>N</w:t>
      </w:r>
      <w:r w:rsidRPr="00D75574">
        <w:rPr>
          <w:lang w:val="ru-RU"/>
        </w:rPr>
        <w:t xml:space="preserve"> 03-15-05/105082</w:t>
      </w:r>
    </w:p>
    <w:p w:rsidR="00D75574" w:rsidRPr="00D75574" w:rsidRDefault="00D75574">
      <w:pPr>
        <w:pStyle w:val="ConsPlusNormal"/>
        <w:jc w:val="both"/>
        <w:rPr>
          <w:lang w:val="ru-RU"/>
        </w:rPr>
      </w:pPr>
    </w:p>
    <w:p w:rsidR="00D75574" w:rsidRPr="00D75574" w:rsidRDefault="00D75574">
      <w:pPr>
        <w:pStyle w:val="ConsPlusNormal"/>
        <w:ind w:firstLine="540"/>
        <w:jc w:val="both"/>
        <w:rPr>
          <w:lang w:val="ru-RU"/>
        </w:rPr>
      </w:pPr>
      <w:r w:rsidRPr="00D75574">
        <w:rPr>
          <w:lang w:val="ru-RU"/>
        </w:rPr>
        <w:t>Департамент налоговой политики рассмотрел обращение от 27.07.2022 по вопросам применения пониженной налоговой ставки по налогу на прибыль организаций и пониженных тарифов страховых взносов организацией, осуществляющей деятельность в области информационных технологий (далее - ИТ-организация, ИТ-деятельность), и сообщает следующее.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1. Об условиях применения преференций по налогу на прибыль организаций и страховым взносам ИТ-организацией, в том числе на упрощенной системе налогообложения (далее - УСН), и об определении доходов от ИТ-деятельности такой организацией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Исходя из положений </w:t>
      </w:r>
      <w:hyperlink r:id="rId5">
        <w:r w:rsidRPr="00D75574">
          <w:rPr>
            <w:color w:val="0000FF"/>
            <w:lang w:val="ru-RU"/>
          </w:rPr>
          <w:t>пункта 1.15 статьи 284</w:t>
        </w:r>
      </w:hyperlink>
      <w:r w:rsidRPr="00D75574">
        <w:rPr>
          <w:lang w:val="ru-RU"/>
        </w:rPr>
        <w:t xml:space="preserve"> и </w:t>
      </w:r>
      <w:hyperlink r:id="rId6">
        <w:r w:rsidRPr="00D75574">
          <w:rPr>
            <w:color w:val="0000FF"/>
            <w:lang w:val="ru-RU"/>
          </w:rPr>
          <w:t>пункта 5 статьи 427</w:t>
        </w:r>
      </w:hyperlink>
      <w:r w:rsidRPr="00D75574">
        <w:rPr>
          <w:lang w:val="ru-RU"/>
        </w:rPr>
        <w:t xml:space="preserve"> Налогового кодекса Российской Федерации в редакции Федерального закона от 14.07.2022 </w:t>
      </w:r>
      <w:r>
        <w:t>N</w:t>
      </w:r>
      <w:r w:rsidRPr="00D75574">
        <w:rPr>
          <w:lang w:val="ru-RU"/>
        </w:rPr>
        <w:t xml:space="preserve"> 321-ФЗ "О внесении изменений в часть вторую Налогового кодекса Российской Федерации" (далее соответственно - Кодекс, Федеральный закон </w:t>
      </w:r>
      <w:r>
        <w:t>N</w:t>
      </w:r>
      <w:r w:rsidRPr="00D75574">
        <w:rPr>
          <w:lang w:val="ru-RU"/>
        </w:rPr>
        <w:t xml:space="preserve"> 321-ФЗ) для российских ИТ-организаций с 2022 года условиями применения пониженной налоговой ставки по налогу на прибыль организаций (в размере 0 процентов в 2022 - 2024 гг.) и пониженных тарифов страховых взносов (в совокупном размере 7,6 процента) являются: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1) получение в установленном порядке документа о государственной аккредитации организации, осуществляющей деятельность в области информационных технологий;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2) по итогам отчетного (налогового, расчетного) периода в сумме всех доходов ИТ-организации, учитываемых при определении налоговой базы по налогу на прибыль организаций в соответствии с главой 25 Кодекса, не менее 70 процентов составляют доходы, перечисленные в </w:t>
      </w:r>
      <w:hyperlink r:id="rId7">
        <w:r w:rsidRPr="00D75574">
          <w:rPr>
            <w:color w:val="0000FF"/>
            <w:lang w:val="ru-RU"/>
          </w:rPr>
          <w:t>пункте 1.15 статьи 284</w:t>
        </w:r>
      </w:hyperlink>
      <w:r w:rsidRPr="00D75574">
        <w:rPr>
          <w:lang w:val="ru-RU"/>
        </w:rPr>
        <w:t xml:space="preserve"> и </w:t>
      </w:r>
      <w:hyperlink r:id="rId8">
        <w:r w:rsidRPr="00D75574">
          <w:rPr>
            <w:color w:val="0000FF"/>
            <w:lang w:val="ru-RU"/>
          </w:rPr>
          <w:t>пункте 5 статьи 427</w:t>
        </w:r>
      </w:hyperlink>
      <w:r w:rsidRPr="00D75574">
        <w:rPr>
          <w:lang w:val="ru-RU"/>
        </w:rPr>
        <w:t xml:space="preserve"> Кодекса.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Таким образом, ИТ-организация с 2022 года вправе применять пониженную налоговую ставку по налогу на прибыль организаций и пониженные тарифы страховых взносов при одновременном выполнении двух условий - об аккредитации и доле доходов от ИТ-деятельности.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Вместе с тем необходимо отметить, что согласно </w:t>
      </w:r>
      <w:hyperlink r:id="rId9">
        <w:r w:rsidRPr="00D75574">
          <w:rPr>
            <w:color w:val="0000FF"/>
            <w:lang w:val="ru-RU"/>
          </w:rPr>
          <w:t>пункту 2 статьи 346.11</w:t>
        </w:r>
      </w:hyperlink>
      <w:r w:rsidRPr="00D75574">
        <w:rPr>
          <w:lang w:val="ru-RU"/>
        </w:rPr>
        <w:t xml:space="preserve"> Кодекса применение УСН организациями предусматривает их освобождение от обязанности по уплате налога на прибыль организаций (за исключением налога, уплачиваемого с доходов, облагаемых по налоговым ставкам, предусмотренным </w:t>
      </w:r>
      <w:hyperlink r:id="rId10">
        <w:r w:rsidRPr="00D75574">
          <w:rPr>
            <w:color w:val="0000FF"/>
            <w:lang w:val="ru-RU"/>
          </w:rPr>
          <w:t>пунктами 1.6</w:t>
        </w:r>
      </w:hyperlink>
      <w:r w:rsidRPr="00D75574">
        <w:rPr>
          <w:lang w:val="ru-RU"/>
        </w:rPr>
        <w:t xml:space="preserve">, </w:t>
      </w:r>
      <w:hyperlink r:id="rId11">
        <w:r w:rsidRPr="00D75574">
          <w:rPr>
            <w:color w:val="0000FF"/>
            <w:lang w:val="ru-RU"/>
          </w:rPr>
          <w:t>3</w:t>
        </w:r>
      </w:hyperlink>
      <w:r w:rsidRPr="00D75574">
        <w:rPr>
          <w:lang w:val="ru-RU"/>
        </w:rPr>
        <w:t xml:space="preserve"> и </w:t>
      </w:r>
      <w:hyperlink r:id="rId12">
        <w:r w:rsidRPr="00D75574">
          <w:rPr>
            <w:color w:val="0000FF"/>
            <w:lang w:val="ru-RU"/>
          </w:rPr>
          <w:t>4 статьи 284</w:t>
        </w:r>
      </w:hyperlink>
      <w:r w:rsidRPr="00D75574">
        <w:rPr>
          <w:lang w:val="ru-RU"/>
        </w:rPr>
        <w:t xml:space="preserve"> Кодекса).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При этом пониженные тарифы страховых взносов применяются ИТ-организацией независимо от применяемого ею налогового режима, в том числе в случае применения УСН.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Кроме того, в целях главы 25 Кодекса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 (</w:t>
      </w:r>
      <w:hyperlink r:id="rId13">
        <w:r w:rsidRPr="00D75574">
          <w:rPr>
            <w:color w:val="0000FF"/>
            <w:lang w:val="ru-RU"/>
          </w:rPr>
          <w:t>пункт 1 статьи 249</w:t>
        </w:r>
      </w:hyperlink>
      <w:r w:rsidRPr="00D75574">
        <w:rPr>
          <w:lang w:val="ru-RU"/>
        </w:rPr>
        <w:t xml:space="preserve"> Кодекса).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Согласно </w:t>
      </w:r>
      <w:hyperlink r:id="rId14">
        <w:r w:rsidRPr="00D75574">
          <w:rPr>
            <w:color w:val="0000FF"/>
            <w:lang w:val="ru-RU"/>
          </w:rPr>
          <w:t>пункту 2 статьи 249</w:t>
        </w:r>
      </w:hyperlink>
      <w:r w:rsidRPr="00D75574">
        <w:rPr>
          <w:lang w:val="ru-RU"/>
        </w:rPr>
        <w:t xml:space="preserve"> Кодекса в целях налогообложения прибыли организаций 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форме. В зависимости от выбранного налогоплательщиком метода признания доходов и расходов поступления, связанные с расчетами за реализованные товары (работы, услуги) или имущественные права, признаются для целей главы 25 Кодекса в соответствии со </w:t>
      </w:r>
      <w:hyperlink r:id="rId15">
        <w:r w:rsidRPr="00D75574">
          <w:rPr>
            <w:color w:val="0000FF"/>
            <w:lang w:val="ru-RU"/>
          </w:rPr>
          <w:t>статьей 271</w:t>
        </w:r>
      </w:hyperlink>
      <w:r w:rsidRPr="00D75574">
        <w:rPr>
          <w:lang w:val="ru-RU"/>
        </w:rPr>
        <w:t xml:space="preserve"> или </w:t>
      </w:r>
      <w:hyperlink r:id="rId16">
        <w:r w:rsidRPr="00D75574">
          <w:rPr>
            <w:color w:val="0000FF"/>
            <w:lang w:val="ru-RU"/>
          </w:rPr>
          <w:t>статьей 273</w:t>
        </w:r>
      </w:hyperlink>
      <w:r w:rsidRPr="00D75574">
        <w:rPr>
          <w:lang w:val="ru-RU"/>
        </w:rPr>
        <w:t xml:space="preserve"> Кодекса.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hyperlink r:id="rId17">
        <w:r w:rsidRPr="00D75574">
          <w:rPr>
            <w:color w:val="0000FF"/>
            <w:lang w:val="ru-RU"/>
          </w:rPr>
          <w:t>Статьей 271</w:t>
        </w:r>
      </w:hyperlink>
      <w:r w:rsidRPr="00D75574">
        <w:rPr>
          <w:lang w:val="ru-RU"/>
        </w:rPr>
        <w:t xml:space="preserve"> Кодекса установлен порядок признания доходов при методе начисления.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Положения </w:t>
      </w:r>
      <w:hyperlink r:id="rId18">
        <w:r w:rsidRPr="00D75574">
          <w:rPr>
            <w:color w:val="0000FF"/>
            <w:lang w:val="ru-RU"/>
          </w:rPr>
          <w:t>статьи 273</w:t>
        </w:r>
      </w:hyperlink>
      <w:r w:rsidRPr="00D75574">
        <w:rPr>
          <w:lang w:val="ru-RU"/>
        </w:rPr>
        <w:t xml:space="preserve"> Кодекса устанавливают порядок определения доходов и расходов при кассовом методе.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При этом согласно </w:t>
      </w:r>
      <w:hyperlink r:id="rId19">
        <w:r w:rsidRPr="00D75574">
          <w:rPr>
            <w:color w:val="0000FF"/>
            <w:lang w:val="ru-RU"/>
          </w:rPr>
          <w:t>пункту 1 статьи 273</w:t>
        </w:r>
      </w:hyperlink>
      <w:r w:rsidRPr="00D75574">
        <w:rPr>
          <w:lang w:val="ru-RU"/>
        </w:rPr>
        <w:t xml:space="preserve"> Кодекса организации (за исключением банков, кредитных потребительских кооперативов и микрофинансовых организаций, организаций, признаваемых в соответствии с настоящим Кодексом контролирующими лицами контролируемых иностранных компаний, и налогоплательщиков, указанных в </w:t>
      </w:r>
      <w:hyperlink r:id="rId20">
        <w:r w:rsidRPr="00D75574">
          <w:rPr>
            <w:color w:val="0000FF"/>
            <w:lang w:val="ru-RU"/>
          </w:rPr>
          <w:t>пункте 1 статьи 275.2</w:t>
        </w:r>
      </w:hyperlink>
      <w:r w:rsidRPr="00D75574">
        <w:rPr>
          <w:lang w:val="ru-RU"/>
        </w:rPr>
        <w:t xml:space="preserve"> Кодекса) имеют право на определение даты получения дохода (осуществления расхода) по кассовому методу, если в среднем за предыдущие четыре квартала сумма выручки от реализации товаров (работ, услуг) этих организаций без учета налога на добавленную стоимость не превысила одного миллиона рублей за каждый квартал.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Таким образом, при определении налоговой базы по налогу на прибыль организаций в соответствии с </w:t>
      </w:r>
      <w:hyperlink r:id="rId21">
        <w:r w:rsidRPr="00D75574">
          <w:rPr>
            <w:color w:val="0000FF"/>
            <w:lang w:val="ru-RU"/>
          </w:rPr>
          <w:t>главой 25</w:t>
        </w:r>
      </w:hyperlink>
      <w:r w:rsidRPr="00D75574">
        <w:rPr>
          <w:lang w:val="ru-RU"/>
        </w:rPr>
        <w:t xml:space="preserve"> Кодекса налогоплательщик вправе применять кассовый метод в случае соблюдения условий, установленных </w:t>
      </w:r>
      <w:hyperlink r:id="rId22">
        <w:r w:rsidRPr="00D75574">
          <w:rPr>
            <w:color w:val="0000FF"/>
            <w:lang w:val="ru-RU"/>
          </w:rPr>
          <w:t>статьей 273</w:t>
        </w:r>
      </w:hyperlink>
      <w:r w:rsidRPr="00D75574">
        <w:rPr>
          <w:lang w:val="ru-RU"/>
        </w:rPr>
        <w:t xml:space="preserve"> Кодекса.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Согласно </w:t>
      </w:r>
      <w:hyperlink r:id="rId23">
        <w:r w:rsidRPr="00D75574">
          <w:rPr>
            <w:color w:val="0000FF"/>
            <w:lang w:val="ru-RU"/>
          </w:rPr>
          <w:t>пункту 1 статьи 346.17</w:t>
        </w:r>
      </w:hyperlink>
      <w:r w:rsidRPr="00D75574">
        <w:rPr>
          <w:lang w:val="ru-RU"/>
        </w:rPr>
        <w:t xml:space="preserve"> Кодекса в целях главы 26.2 "Упрощенная система налогообложения" Кодекса датой получения доходов признается день поступления денежных средств на счета в банках и (или) в кассу, получения иного имущества (работ, услуг) и (или) имущественных прав, а также погашения задолженности (оплаты) налогоплательщику иным способом (кассовый метод).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Учитывая изложенное, ИТ-организация на УСН для целей применения пониженных тарифов страховых взносов определяет вышеупомянутую долю доходом от ИТ-деятельности (70 процентов) с применением кассового метода, предусмотренного </w:t>
      </w:r>
      <w:hyperlink r:id="rId24">
        <w:r w:rsidRPr="00D75574">
          <w:rPr>
            <w:color w:val="0000FF"/>
            <w:lang w:val="ru-RU"/>
          </w:rPr>
          <w:t>статьей 346.17</w:t>
        </w:r>
      </w:hyperlink>
      <w:r w:rsidRPr="00D75574">
        <w:rPr>
          <w:lang w:val="ru-RU"/>
        </w:rPr>
        <w:t xml:space="preserve"> Кодекса.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2. О включении в сумму доходов ИТ-организации доходов от лиц, входящих в одну группу лиц с данной организацией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В </w:t>
      </w:r>
      <w:hyperlink r:id="rId25">
        <w:r w:rsidRPr="00D75574">
          <w:rPr>
            <w:color w:val="0000FF"/>
            <w:lang w:val="ru-RU"/>
          </w:rPr>
          <w:t>абзаце четвертом пункта 1.15 статьи 284</w:t>
        </w:r>
      </w:hyperlink>
      <w:r w:rsidRPr="00D75574">
        <w:rPr>
          <w:lang w:val="ru-RU"/>
        </w:rPr>
        <w:t xml:space="preserve"> и </w:t>
      </w:r>
      <w:hyperlink r:id="rId26">
        <w:r w:rsidRPr="00D75574">
          <w:rPr>
            <w:color w:val="0000FF"/>
            <w:lang w:val="ru-RU"/>
          </w:rPr>
          <w:t>пункте 5 статьи 427</w:t>
        </w:r>
      </w:hyperlink>
      <w:r w:rsidRPr="00D75574">
        <w:rPr>
          <w:lang w:val="ru-RU"/>
        </w:rPr>
        <w:t xml:space="preserve"> Кодекса упомянуты доходы от реализации экземпляров разработанных, адаптированных и (или) модифицированных ИТ-организацией либо лицом, входящим в одну группу лиц с данной организацией, программ для ЭВМ, баз данных (собственные программы для ЭВМ, базы данных).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В целях </w:t>
      </w:r>
      <w:hyperlink r:id="rId27">
        <w:r w:rsidRPr="00D75574">
          <w:rPr>
            <w:color w:val="0000FF"/>
            <w:lang w:val="ru-RU"/>
          </w:rPr>
          <w:t>пункта 1.15 статьи 284</w:t>
        </w:r>
      </w:hyperlink>
      <w:r w:rsidRPr="00D75574">
        <w:rPr>
          <w:lang w:val="ru-RU"/>
        </w:rPr>
        <w:t xml:space="preserve"> и </w:t>
      </w:r>
      <w:hyperlink r:id="rId28">
        <w:r w:rsidRPr="00D75574">
          <w:rPr>
            <w:color w:val="0000FF"/>
            <w:lang w:val="ru-RU"/>
          </w:rPr>
          <w:t>пункта 5 статьи 427</w:t>
        </w:r>
      </w:hyperlink>
      <w:r w:rsidRPr="00D75574">
        <w:rPr>
          <w:lang w:val="ru-RU"/>
        </w:rPr>
        <w:t xml:space="preserve"> Кодекса лицом, входящим в одну группу лиц с данной организацией, признается лицо, которое прямо участвует в данной организации, либо в котором прямо участвует данная организация, либо в котором и в данной организации прямо участвует третье лицо и доля участия во всех случаях составляет более 50 процентов (</w:t>
      </w:r>
      <w:hyperlink r:id="rId29">
        <w:r w:rsidRPr="00D75574">
          <w:rPr>
            <w:color w:val="0000FF"/>
            <w:lang w:val="ru-RU"/>
          </w:rPr>
          <w:t>абзац двадцать второй пункта 1.15 статьи 284</w:t>
        </w:r>
      </w:hyperlink>
      <w:r w:rsidRPr="00D75574">
        <w:rPr>
          <w:lang w:val="ru-RU"/>
        </w:rPr>
        <w:t xml:space="preserve"> и </w:t>
      </w:r>
      <w:hyperlink r:id="rId30">
        <w:r w:rsidRPr="00D75574">
          <w:rPr>
            <w:color w:val="0000FF"/>
            <w:lang w:val="ru-RU"/>
          </w:rPr>
          <w:t>пункт 5 статьи 427</w:t>
        </w:r>
      </w:hyperlink>
      <w:r w:rsidRPr="00D75574">
        <w:rPr>
          <w:lang w:val="ru-RU"/>
        </w:rPr>
        <w:t xml:space="preserve"> Кодекса).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Доля участия лица в организации определяется в порядке, установленном </w:t>
      </w:r>
      <w:hyperlink r:id="rId31">
        <w:r w:rsidRPr="00D75574">
          <w:rPr>
            <w:color w:val="0000FF"/>
            <w:lang w:val="ru-RU"/>
          </w:rPr>
          <w:t>статьей 105.2</w:t>
        </w:r>
      </w:hyperlink>
      <w:r w:rsidRPr="00D75574">
        <w:rPr>
          <w:lang w:val="ru-RU"/>
        </w:rPr>
        <w:t xml:space="preserve"> Кодекса.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Таким образом, в необходимую долю доходов включаются доходы от реализации экземпляров программ для ЭВМ, баз данных, разработанных, адаптированных и (или) модифицированных самой ИТ-организацией, либо лицом, которое прямо участвует в данной организации, либо в котором прямо участвует данная организация, либо в котором и в данной организации прямо участвует третье лицо и доля участия во всех случаях составляет более 50 процентов. При этом в расчет доли доходов включаются доходы, полученные только самим налогоплательщиком (плательщиком страховых взносов).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3. О моменте применения преференций по налогу на прибыль организаций и страховым взносам при выполнении ИТ-организацией условия о необходимой доле доходов за полугодие 2022 года (при этом за первый квартал 2022 года это условие не было выполнено)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С 1 января 2022 года Федеральным </w:t>
      </w:r>
      <w:hyperlink r:id="rId32">
        <w:r w:rsidRPr="00D75574">
          <w:rPr>
            <w:color w:val="0000FF"/>
            <w:lang w:val="ru-RU"/>
          </w:rPr>
          <w:t>законом</w:t>
        </w:r>
      </w:hyperlink>
      <w:r w:rsidRPr="00D75574">
        <w:rPr>
          <w:lang w:val="ru-RU"/>
        </w:rPr>
        <w:t xml:space="preserve"> </w:t>
      </w:r>
      <w:r>
        <w:t>N</w:t>
      </w:r>
      <w:r w:rsidRPr="00D75574">
        <w:rPr>
          <w:lang w:val="ru-RU"/>
        </w:rPr>
        <w:t xml:space="preserve"> 321-ФЗ условие о минимальном значении средней (среднесписочной) численности работников ИТ-организации (7 человек) для целей применения такой организацией пониженной налоговой ставки по налогу на прибыль организаций и пониженных тарифов страховых взносов, а также условие о необходимой доле доходов от ИТ-деятельности за 9 месяцев года, предшествующего году перехода на уплату страховых взносов по пониженным тарифам, </w:t>
      </w:r>
      <w:r w:rsidRPr="00D75574">
        <w:rPr>
          <w:lang w:val="ru-RU"/>
        </w:rPr>
        <w:lastRenderedPageBreak/>
        <w:t>отменены.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В случае если ИТ-организация, имеющая документ о государственной аккредитации организации, осуществляющей деятельность в области информационных технологий, выполняет условие о необходимой доле доходов от ИТ-деятельности по итогам отчетного (расчетного) периода (в данном случае за полугодие 2022 года), то она вправе применять пониженные тарифы страховых взносов с 1 января 2022 года и может произвести перерасчет страховых взносов, ранее уплаченных за первый квартал 2022 года исходя из общеустановленных тарифов страховых взносов, путем зачета или возврата в порядке, предусмотренном </w:t>
      </w:r>
      <w:hyperlink r:id="rId33">
        <w:r w:rsidRPr="00D75574">
          <w:rPr>
            <w:color w:val="0000FF"/>
            <w:lang w:val="ru-RU"/>
          </w:rPr>
          <w:t>статьей 78</w:t>
        </w:r>
      </w:hyperlink>
      <w:r w:rsidRPr="00D75574">
        <w:rPr>
          <w:lang w:val="ru-RU"/>
        </w:rPr>
        <w:t xml:space="preserve"> Кодекса. При этом организации следует представить уточненный расчет по страховым взносам за прошедший отчетный период 2022 года (первый квартал 2022 года).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Что касается налога на прибыль организаций, при выполнении ИТ-организацией, имеющей документ о государственной аккредитации организации, осуществляющей деятельность в области информационных технологий, условия о необходимой доле доходов от ИТ-деятельности не с начала года такая ИТ-организация вправе применять предусмотренную </w:t>
      </w:r>
      <w:hyperlink r:id="rId34">
        <w:r w:rsidRPr="00D75574">
          <w:rPr>
            <w:color w:val="0000FF"/>
            <w:lang w:val="ru-RU"/>
          </w:rPr>
          <w:t>пунктом 1.15 статьи 284</w:t>
        </w:r>
      </w:hyperlink>
      <w:r w:rsidRPr="00D75574">
        <w:rPr>
          <w:lang w:val="ru-RU"/>
        </w:rPr>
        <w:t xml:space="preserve"> Кодекса налоговую ставку по налогу на прибыль организаций к прибыли, рассчитанной нарастающим итогом с начала налогового периода, которая отражается в налоговой декларации по налогу на прибыль организаций за тот отчетный период 2022 года, по итогам которого выполняется условие о 70-процентной доле доходов от ИТ-деятельности.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4. О заказных программах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 xml:space="preserve">Согласно </w:t>
      </w:r>
      <w:hyperlink r:id="rId35">
        <w:r w:rsidRPr="00D75574">
          <w:rPr>
            <w:color w:val="0000FF"/>
            <w:lang w:val="ru-RU"/>
          </w:rPr>
          <w:t>абзацам восьмому</w:t>
        </w:r>
      </w:hyperlink>
      <w:r w:rsidRPr="00D75574">
        <w:rPr>
          <w:lang w:val="ru-RU"/>
        </w:rPr>
        <w:t xml:space="preserve"> и </w:t>
      </w:r>
      <w:hyperlink r:id="rId36">
        <w:r w:rsidRPr="00D75574">
          <w:rPr>
            <w:color w:val="0000FF"/>
            <w:lang w:val="ru-RU"/>
          </w:rPr>
          <w:t>девятому пункта 1.15 статьи 284</w:t>
        </w:r>
      </w:hyperlink>
      <w:r w:rsidRPr="00D75574">
        <w:rPr>
          <w:lang w:val="ru-RU"/>
        </w:rPr>
        <w:t xml:space="preserve"> и </w:t>
      </w:r>
      <w:hyperlink r:id="rId37">
        <w:r w:rsidRPr="00D75574">
          <w:rPr>
            <w:color w:val="0000FF"/>
            <w:lang w:val="ru-RU"/>
          </w:rPr>
          <w:t>пункту 5 статьи 427</w:t>
        </w:r>
      </w:hyperlink>
      <w:r w:rsidRPr="00D75574">
        <w:rPr>
          <w:lang w:val="ru-RU"/>
        </w:rPr>
        <w:t xml:space="preserve"> Кодекса в упомянутую необходимую долю доходов от ИТ-деятельности включаются доходы от оказания услуг (выполнения работ) по разработке, адаптации и модификации программ для ЭВМ, баз данных (программных средств и информационных продуктов вычислительной техники) (т.е. заказные программы для ЭВМ, базы данных), а также доходы от оказания услуг (выполнения работ) по установке, тестированию и сопровождению собственных программ для ЭВМ, баз данных и заказных программ для ЭВМ, баз данных.</w:t>
      </w:r>
    </w:p>
    <w:p w:rsidR="00D75574" w:rsidRPr="00D75574" w:rsidRDefault="00D75574">
      <w:pPr>
        <w:pStyle w:val="ConsPlusNormal"/>
        <w:spacing w:before="200"/>
        <w:ind w:firstLine="540"/>
        <w:jc w:val="both"/>
        <w:rPr>
          <w:lang w:val="ru-RU"/>
        </w:rPr>
      </w:pPr>
      <w:r w:rsidRPr="00D75574">
        <w:rPr>
          <w:lang w:val="ru-RU"/>
        </w:rPr>
        <w:t>В связи с этим под заказными программами для ЭВМ понимаются программы для ЭВМ, услуги (работы) по разработке, адаптации, модификации которых осуществляла данная организация для заказчика.</w:t>
      </w:r>
    </w:p>
    <w:p w:rsidR="00D75574" w:rsidRPr="00D75574" w:rsidRDefault="00D75574">
      <w:pPr>
        <w:pStyle w:val="ConsPlusNormal"/>
        <w:jc w:val="both"/>
        <w:rPr>
          <w:lang w:val="ru-RU"/>
        </w:rPr>
      </w:pPr>
    </w:p>
    <w:p w:rsidR="00D75574" w:rsidRPr="00D75574" w:rsidRDefault="00D75574">
      <w:pPr>
        <w:pStyle w:val="ConsPlusNormal"/>
        <w:jc w:val="right"/>
        <w:rPr>
          <w:lang w:val="ru-RU"/>
        </w:rPr>
      </w:pPr>
      <w:r w:rsidRPr="00D75574">
        <w:rPr>
          <w:lang w:val="ru-RU"/>
        </w:rPr>
        <w:t>Заместитель директора Департамента</w:t>
      </w:r>
    </w:p>
    <w:p w:rsidR="00D75574" w:rsidRPr="00D75574" w:rsidRDefault="00D75574">
      <w:pPr>
        <w:pStyle w:val="ConsPlusNormal"/>
        <w:jc w:val="right"/>
        <w:rPr>
          <w:lang w:val="ru-RU"/>
        </w:rPr>
      </w:pPr>
      <w:r w:rsidRPr="00D75574">
        <w:rPr>
          <w:lang w:val="ru-RU"/>
        </w:rPr>
        <w:t>В.А.ПРОКАЕВ</w:t>
      </w:r>
    </w:p>
    <w:p w:rsidR="00D75574" w:rsidRDefault="00D75574">
      <w:pPr>
        <w:pStyle w:val="ConsPlusNormal"/>
      </w:pPr>
      <w:r>
        <w:t>28.10.2022</w:t>
      </w:r>
    </w:p>
    <w:p w:rsidR="00D75574" w:rsidRDefault="00D75574">
      <w:pPr>
        <w:pStyle w:val="ConsPlusNormal"/>
        <w:jc w:val="both"/>
      </w:pPr>
    </w:p>
    <w:p w:rsidR="00D75574" w:rsidRDefault="00D75574">
      <w:pPr>
        <w:pStyle w:val="ConsPlusNormal"/>
        <w:jc w:val="both"/>
      </w:pPr>
    </w:p>
    <w:p w:rsidR="00D75574" w:rsidRDefault="00D75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1B3" w:rsidRPr="00D75574" w:rsidRDefault="005361B3">
      <w:pPr>
        <w:rPr>
          <w:lang w:val="ru-RU"/>
        </w:rPr>
      </w:pPr>
      <w:bookmarkStart w:id="0" w:name="_GoBack"/>
      <w:bookmarkEnd w:id="0"/>
    </w:p>
    <w:sectPr w:rsidR="005361B3" w:rsidRPr="00D75574" w:rsidSect="000B33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4"/>
    <w:rsid w:val="005361B3"/>
    <w:rsid w:val="00D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3BF3-145A-40F6-AC8A-C629BAA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D755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D755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3C0018101911653F86554726404A403AE1F03DC3FACDEF46CBFB15B0A36B661B8AFACE00E1F249943E08CB117D41CDDAACB323052D86EC7D08I" TargetMode="External"/><Relationship Id="rId18" Type="http://schemas.openxmlformats.org/officeDocument/2006/relationships/hyperlink" Target="consultantplus://offline/ref=7A3C0018101911653F86554726404A403AE1F03DC3FACDEF46CBFB15B0A36B661B8AFACE00E2FE46923E08CB117D41CDDAACB323052D86EC7D08I" TargetMode="External"/><Relationship Id="rId26" Type="http://schemas.openxmlformats.org/officeDocument/2006/relationships/hyperlink" Target="consultantplus://offline/ref=7A3C0018101911653F86554726404A403AE1F03DC3FACDEF46CBFB15B0A36B661B8AFACD02E4FD4E9E610DDE00254DCEC6B3B03F192F847E0C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A3C0018101911653F86554726404A403AE1F03DC3FACDEF46CBFB15B0A36B661B8AFACE00E1F24C913E08CB117D41CDDAACB323052D86EC7D08I" TargetMode="External"/><Relationship Id="rId34" Type="http://schemas.openxmlformats.org/officeDocument/2006/relationships/hyperlink" Target="consultantplus://offline/ref=7A3C0018101911653F86554726404A403AE1F03DC3FACDEF46CBFB15B0A36B661B8AFACD02E3F34F9E610DDE00254DCEC6B3B03F192F847E0CI" TargetMode="External"/><Relationship Id="rId7" Type="http://schemas.openxmlformats.org/officeDocument/2006/relationships/hyperlink" Target="consultantplus://offline/ref=7A3C0018101911653F86554726404A403AE1F03DC3FACDEF46CBFB15B0A36B661B8AFACD02E3F34D9E610DDE00254DCEC6B3B03F192F847E0CI" TargetMode="External"/><Relationship Id="rId12" Type="http://schemas.openxmlformats.org/officeDocument/2006/relationships/hyperlink" Target="consultantplus://offline/ref=7A3C0018101911653F86554726404A403AE1F03DC3FACDEF46CBFB15B0A36B661B8AFAC909E4F11BC4710997542A52CDDAACB02119720DI" TargetMode="External"/><Relationship Id="rId17" Type="http://schemas.openxmlformats.org/officeDocument/2006/relationships/hyperlink" Target="consultantplus://offline/ref=7A3C0018101911653F86554726404A403AE1F03DC3FACDEF46CBFB15B0A36B661B8AFACE00E2FE4D943E08CB117D41CDDAACB323052D86EC7D08I" TargetMode="External"/><Relationship Id="rId25" Type="http://schemas.openxmlformats.org/officeDocument/2006/relationships/hyperlink" Target="consultantplus://offline/ref=7A3C0018101911653F86554726404A403AE1F03DC3FACDEF46CBFB15B0A36B661B8AFACD02E3F34C9E610DDE00254DCEC6B3B03F192F847E0CI" TargetMode="External"/><Relationship Id="rId33" Type="http://schemas.openxmlformats.org/officeDocument/2006/relationships/hyperlink" Target="consultantplus://offline/ref=7A3C0018101911653F86554726404A403AE2F031C9F6CDEF46CBFB15B0A36B661B8AFACC09E9F944C16418CF58294ED2D9B0AC231B2D7804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C0018101911653F86554726404A403AE1F03DC3FACDEF46CBFB15B0A36B661B8AFACE00E2FE46923E08CB117D41CDDAACB323052D86EC7D08I" TargetMode="External"/><Relationship Id="rId20" Type="http://schemas.openxmlformats.org/officeDocument/2006/relationships/hyperlink" Target="consultantplus://offline/ref=7A3C0018101911653F86554726404A403AE1F03DC3FACDEF46CBFB15B0A36B661B8AFAC707E9F944C16418CF58294ED2D9B0AC231B2D7804I" TargetMode="External"/><Relationship Id="rId29" Type="http://schemas.openxmlformats.org/officeDocument/2006/relationships/hyperlink" Target="consultantplus://offline/ref=7A3C0018101911653F86554726404A403AE1F03DC3FACDEF46CBFB15B0A36B661B8AFACD02E4FB4E9E610DDE00254DCEC6B3B03F192F847E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0018101911653F86554726404A403AE1F03DC3FACDEF46CBFB15B0A36B661B8AFACD02E4FC479E610DDE00254DCEC6B3B03F192F847E0CI" TargetMode="External"/><Relationship Id="rId11" Type="http://schemas.openxmlformats.org/officeDocument/2006/relationships/hyperlink" Target="consultantplus://offline/ref=7A3C0018101911653F86554726404A403AE1F03DC3FACDEF46CBFB15B0A36B661B8AFACC02E9FC44C16418CF58294ED2D9B0AC231B2D7804I" TargetMode="External"/><Relationship Id="rId24" Type="http://schemas.openxmlformats.org/officeDocument/2006/relationships/hyperlink" Target="consultantplus://offline/ref=7A3C0018101911653F86554726404A403AE1F03DC3FACDEF46CBFB15B0A36B661B8AFACE06E7FF44C16418CF58294ED2D9B0AC231B2D7804I" TargetMode="External"/><Relationship Id="rId32" Type="http://schemas.openxmlformats.org/officeDocument/2006/relationships/hyperlink" Target="consultantplus://offline/ref=7A3C0018101911653F86554726404A403AE1F331C0F8CDEF46CBFB15B0A36B66098AA2C201E2E44E972B5E9A57720AI" TargetMode="External"/><Relationship Id="rId37" Type="http://schemas.openxmlformats.org/officeDocument/2006/relationships/hyperlink" Target="consultantplus://offline/ref=7A3C0018101911653F86554726404A403AE1F03DC3FACDEF46CBFB15B0A36B661B8AFACD02E4FC479E610DDE00254DCEC6B3B03F192F847E0CI" TargetMode="External"/><Relationship Id="rId5" Type="http://schemas.openxmlformats.org/officeDocument/2006/relationships/hyperlink" Target="consultantplus://offline/ref=7A3C0018101911653F86554726404A403AE1F03DC3FACDEF46CBFB15B0A36B661B8AFACD02E3F34F9E610DDE00254DCEC6B3B03F192F847E0CI" TargetMode="External"/><Relationship Id="rId15" Type="http://schemas.openxmlformats.org/officeDocument/2006/relationships/hyperlink" Target="consultantplus://offline/ref=7A3C0018101911653F86554726404A403AE1F03DC3FACDEF46CBFB15B0A36B661B8AFACE00E2FE4D943E08CB117D41CDDAACB323052D86EC7D08I" TargetMode="External"/><Relationship Id="rId23" Type="http://schemas.openxmlformats.org/officeDocument/2006/relationships/hyperlink" Target="consultantplus://offline/ref=7A3C0018101911653F86554726404A403AE1F03DC3FACDEF46CBFB15B0A36B661B8AFACE06E7FC44C16418CF58294ED2D9B0AC231B2D7804I" TargetMode="External"/><Relationship Id="rId28" Type="http://schemas.openxmlformats.org/officeDocument/2006/relationships/hyperlink" Target="consultantplus://offline/ref=7A3C0018101911653F86554726404A403AE1F03DC3FACDEF46CBFB15B0A36B661B8AFACD02E4FC479E610DDE00254DCEC6B3B03F192F847E0CI" TargetMode="External"/><Relationship Id="rId36" Type="http://schemas.openxmlformats.org/officeDocument/2006/relationships/hyperlink" Target="consultantplus://offline/ref=7A3C0018101911653F86554726404A403AE1F03DC3FACDEF46CBFB15B0A36B661B8AFACD02E3F3479E610DDE00254DCEC6B3B03F192F847E0CI" TargetMode="External"/><Relationship Id="rId10" Type="http://schemas.openxmlformats.org/officeDocument/2006/relationships/hyperlink" Target="consultantplus://offline/ref=7A3C0018101911653F86554726404A403AE1F03DC3FACDEF46CBFB15B0A36B661B8AFACE00E9FF499E610DDE00254DCEC6B3B03F192F847E0CI" TargetMode="External"/><Relationship Id="rId19" Type="http://schemas.openxmlformats.org/officeDocument/2006/relationships/hyperlink" Target="consultantplus://offline/ref=7A3C0018101911653F86554726404A403AE1F03DC3FACDEF46CBFB15B0A36B661B8AFACE00E9FE4C9E610DDE00254DCEC6B3B03F192F847E0CI" TargetMode="External"/><Relationship Id="rId31" Type="http://schemas.openxmlformats.org/officeDocument/2006/relationships/hyperlink" Target="consultantplus://offline/ref=7A3C0018101911653F86554726404A403AE2F031C9F6CDEF46CBFB15B0A36B661B8AFACC05E7FB44C16418CF58294ED2D9B0AC231B2D780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3C0018101911653F86554726404A403AE1F03DC3FACDEF46CBFB15B0A36B661B8AFACE05E1FD479E610DDE00254DCEC6B3B03F192F847E0CI" TargetMode="External"/><Relationship Id="rId14" Type="http://schemas.openxmlformats.org/officeDocument/2006/relationships/hyperlink" Target="consultantplus://offline/ref=7A3C0018101911653F86554726404A403AE1F03DC3FACDEF46CBFB15B0A36B661B8AFACE00E1F249973E08CB117D41CDDAACB323052D86EC7D08I" TargetMode="External"/><Relationship Id="rId22" Type="http://schemas.openxmlformats.org/officeDocument/2006/relationships/hyperlink" Target="consultantplus://offline/ref=7A3C0018101911653F86554726404A403AE1F03DC3FACDEF46CBFB15B0A36B661B8AFACE00E2FE46923E08CB117D41CDDAACB323052D86EC7D08I" TargetMode="External"/><Relationship Id="rId27" Type="http://schemas.openxmlformats.org/officeDocument/2006/relationships/hyperlink" Target="consultantplus://offline/ref=7A3C0018101911653F86554726404A403AE1F03DC3FACDEF46CBFB15B0A36B661B8AFACD02E3F34F9E610DDE00254DCEC6B3B03F192F847E0CI" TargetMode="External"/><Relationship Id="rId30" Type="http://schemas.openxmlformats.org/officeDocument/2006/relationships/hyperlink" Target="consultantplus://offline/ref=7A3C0018101911653F86554726404A403AE1F03DC3FACDEF46CBFB15B0A36B661B8AFACD02E4F2469E610DDE00254DCEC6B3B03F192F847E0CI" TargetMode="External"/><Relationship Id="rId35" Type="http://schemas.openxmlformats.org/officeDocument/2006/relationships/hyperlink" Target="consultantplus://offline/ref=7A3C0018101911653F86554726404A403AE1F03DC3FACDEF46CBFB15B0A36B661B8AFACD02E3F3489E610DDE00254DCEC6B3B03F192F847E0CI" TargetMode="External"/><Relationship Id="rId8" Type="http://schemas.openxmlformats.org/officeDocument/2006/relationships/hyperlink" Target="consultantplus://offline/ref=7A3C0018101911653F86554726404A403AE1F03DC3FACDEF46CBFB15B0A36B661B8AFACD02E4FD4F9E610DDE00254DCEC6B3B03F192F847E0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Алена Юрьевна</dc:creator>
  <cp:keywords/>
  <dc:description/>
  <cp:lastModifiedBy>Москаленко Алена Юрьевна</cp:lastModifiedBy>
  <cp:revision>1</cp:revision>
  <dcterms:created xsi:type="dcterms:W3CDTF">2022-12-12T08:52:00Z</dcterms:created>
  <dcterms:modified xsi:type="dcterms:W3CDTF">2022-12-12T08:53:00Z</dcterms:modified>
</cp:coreProperties>
</file>